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27EAD" w14:textId="3E503E02" w:rsidR="00BB44E0" w:rsidRPr="00FF0674" w:rsidRDefault="00BB44E0" w:rsidP="00BB44E0">
      <w:pPr>
        <w:jc w:val="center"/>
        <w:rPr>
          <w:rFonts w:cs="Times New Roman"/>
          <w:b/>
          <w:bCs/>
        </w:rPr>
      </w:pPr>
      <w:r w:rsidRPr="00FF0674">
        <w:rPr>
          <w:rFonts w:cs="Times New Roman"/>
          <w:b/>
          <w:bCs/>
        </w:rPr>
        <w:t xml:space="preserve">ASCC </w:t>
      </w:r>
      <w:r w:rsidR="00DE6593" w:rsidRPr="00FF0674">
        <w:rPr>
          <w:rFonts w:cs="Times New Roman"/>
          <w:b/>
          <w:bCs/>
        </w:rPr>
        <w:t>Themes Subcommittee I</w:t>
      </w:r>
    </w:p>
    <w:p w14:paraId="5AD27A2E" w14:textId="4601DADD" w:rsidR="00BB44E0" w:rsidRPr="00FF0674" w:rsidRDefault="00B5715F" w:rsidP="00B5715F">
      <w:pPr>
        <w:jc w:val="center"/>
        <w:rPr>
          <w:rFonts w:cs="Times New Roman"/>
        </w:rPr>
      </w:pPr>
      <w:r>
        <w:rPr>
          <w:rFonts w:cs="Times New Roman"/>
        </w:rPr>
        <w:t>Unapproved</w:t>
      </w:r>
      <w:r w:rsidR="00611BF2">
        <w:rPr>
          <w:rFonts w:cs="Times New Roman"/>
        </w:rPr>
        <w:t xml:space="preserve"> Minutes</w:t>
      </w:r>
    </w:p>
    <w:p w14:paraId="57A60D8D" w14:textId="7292CBDF" w:rsidR="00BB44E0" w:rsidRPr="00FF0674" w:rsidRDefault="00DE6593" w:rsidP="00BB44E0">
      <w:pPr>
        <w:rPr>
          <w:rFonts w:cs="Times New Roman"/>
        </w:rPr>
      </w:pPr>
      <w:r w:rsidRPr="00FF0674">
        <w:rPr>
          <w:rFonts w:cs="Times New Roman"/>
        </w:rPr>
        <w:t>Thursday</w:t>
      </w:r>
      <w:r w:rsidR="00BB44E0" w:rsidRPr="00FF0674">
        <w:rPr>
          <w:rFonts w:cs="Times New Roman"/>
        </w:rPr>
        <w:t xml:space="preserve">, </w:t>
      </w:r>
      <w:r w:rsidR="00FF0674">
        <w:rPr>
          <w:rFonts w:cs="Times New Roman"/>
        </w:rPr>
        <w:t xml:space="preserve">October </w:t>
      </w:r>
      <w:r w:rsidR="00664555">
        <w:rPr>
          <w:rFonts w:cs="Times New Roman"/>
        </w:rPr>
        <w:t>30</w:t>
      </w:r>
      <w:r w:rsidR="00FF0674" w:rsidRPr="00FF0674">
        <w:rPr>
          <w:rFonts w:cs="Times New Roman"/>
          <w:vertAlign w:val="superscript"/>
        </w:rPr>
        <w:t>th</w:t>
      </w:r>
      <w:r w:rsidR="00F93B21" w:rsidRPr="00FF0674">
        <w:rPr>
          <w:rFonts w:cs="Times New Roman"/>
        </w:rPr>
        <w:t xml:space="preserve">, </w:t>
      </w:r>
      <w:proofErr w:type="gramStart"/>
      <w:r w:rsidR="00F93B21" w:rsidRPr="00FF0674">
        <w:rPr>
          <w:rFonts w:cs="Times New Roman"/>
        </w:rPr>
        <w:t>2025</w:t>
      </w:r>
      <w:proofErr w:type="gramEnd"/>
      <w:r w:rsidR="00BB44E0" w:rsidRPr="00FF0674">
        <w:rPr>
          <w:rFonts w:cs="Times New Roman"/>
        </w:rPr>
        <w:tab/>
        <w:t xml:space="preserve">        </w:t>
      </w:r>
      <w:r w:rsidR="00BB44E0" w:rsidRPr="00FF0674">
        <w:rPr>
          <w:rFonts w:cs="Times New Roman"/>
        </w:rPr>
        <w:tab/>
      </w:r>
      <w:r w:rsidR="00BB44E0" w:rsidRPr="00FF0674">
        <w:rPr>
          <w:rFonts w:cs="Times New Roman"/>
        </w:rPr>
        <w:tab/>
      </w:r>
      <w:r w:rsidR="00BB44E0" w:rsidRPr="00FF0674">
        <w:rPr>
          <w:rFonts w:cs="Times New Roman"/>
        </w:rPr>
        <w:tab/>
      </w:r>
      <w:r w:rsidR="00BB44E0" w:rsidRPr="00FF0674">
        <w:rPr>
          <w:rFonts w:cs="Times New Roman"/>
        </w:rPr>
        <w:tab/>
      </w:r>
      <w:r w:rsidR="00BB44E0" w:rsidRPr="00FF0674">
        <w:rPr>
          <w:rFonts w:cs="Times New Roman"/>
        </w:rPr>
        <w:tab/>
      </w:r>
      <w:r w:rsidR="00BB44E0" w:rsidRPr="00FF0674">
        <w:rPr>
          <w:rFonts w:cs="Times New Roman"/>
        </w:rPr>
        <w:tab/>
      </w:r>
      <w:r w:rsidRPr="00FF0674">
        <w:rPr>
          <w:rFonts w:cs="Times New Roman"/>
        </w:rPr>
        <w:t>Hagerty Hall 255</w:t>
      </w:r>
    </w:p>
    <w:p w14:paraId="1862C812" w14:textId="0910E32F" w:rsidR="00BB44E0" w:rsidRPr="00FF0674" w:rsidRDefault="00BB44E0" w:rsidP="00BB44E0">
      <w:pPr>
        <w:rPr>
          <w:rFonts w:cs="Times New Roman"/>
        </w:rPr>
      </w:pPr>
      <w:r w:rsidRPr="00FF0674">
        <w:rPr>
          <w:rFonts w:cs="Times New Roman"/>
          <w:b/>
          <w:bCs/>
        </w:rPr>
        <w:t>Attendees</w:t>
      </w:r>
      <w:r w:rsidRPr="00FF0674">
        <w:rPr>
          <w:rFonts w:cs="Times New Roman"/>
        </w:rPr>
        <w:t xml:space="preserve">: </w:t>
      </w:r>
      <w:r w:rsidR="0082274C">
        <w:rPr>
          <w:rFonts w:cs="Times New Roman"/>
        </w:rPr>
        <w:t xml:space="preserve">Andridge, </w:t>
      </w:r>
      <w:r w:rsidR="0082274C" w:rsidRPr="00611BF2">
        <w:rPr>
          <w:rFonts w:cs="Times New Roman"/>
        </w:rPr>
        <w:t xml:space="preserve">Hermann, Lower, Nagar, Patson, Ottesen, Rehbeck, </w:t>
      </w:r>
      <w:r w:rsidR="00B74D47" w:rsidRPr="00611BF2">
        <w:rPr>
          <w:rFonts w:cs="Times New Roman"/>
        </w:rPr>
        <w:t>S</w:t>
      </w:r>
      <w:r w:rsidR="00DE6593" w:rsidRPr="00611BF2">
        <w:rPr>
          <w:rFonts w:cs="Times New Roman"/>
        </w:rPr>
        <w:t>teele, Tuxbury-Gleissner</w:t>
      </w:r>
      <w:r w:rsidR="0000435C" w:rsidRPr="00611BF2">
        <w:rPr>
          <w:rFonts w:cs="Times New Roman"/>
        </w:rPr>
        <w:t>, Vankeerbergen</w:t>
      </w:r>
      <w:r w:rsidR="00B63765" w:rsidRPr="00611BF2">
        <w:rPr>
          <w:rFonts w:cs="Times New Roman"/>
        </w:rPr>
        <w:t xml:space="preserve"> </w:t>
      </w:r>
    </w:p>
    <w:p w14:paraId="0ED98143" w14:textId="41BE9DCB" w:rsidR="004B39A4" w:rsidRPr="00FF0674" w:rsidRDefault="00BB44E0">
      <w:pPr>
        <w:rPr>
          <w:rFonts w:cs="Times New Roman"/>
          <w:b/>
          <w:bCs/>
        </w:rPr>
      </w:pPr>
      <w:r w:rsidRPr="00FF0674">
        <w:rPr>
          <w:rFonts w:cs="Times New Roman"/>
          <w:b/>
          <w:bCs/>
        </w:rPr>
        <w:t>Agenda</w:t>
      </w:r>
    </w:p>
    <w:p w14:paraId="5B422A77" w14:textId="77777777" w:rsidR="006232AA" w:rsidRDefault="006232AA" w:rsidP="006232AA">
      <w:pPr>
        <w:pStyle w:val="ListParagraph"/>
        <w:numPr>
          <w:ilvl w:val="0"/>
          <w:numId w:val="12"/>
        </w:numPr>
      </w:pPr>
      <w:r w:rsidRPr="006232AA">
        <w:t>Approval of 10-9-25 minutes</w:t>
      </w:r>
    </w:p>
    <w:p w14:paraId="13EA13E9" w14:textId="7B3D51B7" w:rsidR="0082274C" w:rsidRDefault="0082274C" w:rsidP="0082274C">
      <w:pPr>
        <w:pStyle w:val="ListParagraph"/>
        <w:numPr>
          <w:ilvl w:val="1"/>
          <w:numId w:val="12"/>
        </w:numPr>
      </w:pPr>
      <w:r>
        <w:t>Rehbeck, Nagar; approved with one abstention</w:t>
      </w:r>
      <w:r w:rsidR="00611BF2">
        <w:t>.</w:t>
      </w:r>
    </w:p>
    <w:p w14:paraId="68B529C9" w14:textId="77777777" w:rsidR="006E11D3" w:rsidRPr="006232AA" w:rsidRDefault="006E11D3" w:rsidP="006E11D3">
      <w:pPr>
        <w:pStyle w:val="ListParagraph"/>
      </w:pPr>
    </w:p>
    <w:p w14:paraId="146410EB" w14:textId="77777777" w:rsidR="006232AA" w:rsidRDefault="006232AA" w:rsidP="006232AA">
      <w:pPr>
        <w:pStyle w:val="ListParagraph"/>
        <w:numPr>
          <w:ilvl w:val="0"/>
          <w:numId w:val="12"/>
        </w:numPr>
      </w:pPr>
      <w:r w:rsidRPr="006232AA">
        <w:t>English 3380 (new course approved for 100% DL; requesting GEN Theme: Traditions, Cultures, and Transformations)</w:t>
      </w:r>
    </w:p>
    <w:p w14:paraId="3091C573" w14:textId="3EB7D206" w:rsidR="00010C0C" w:rsidRDefault="00010C0C" w:rsidP="00010C0C">
      <w:pPr>
        <w:pStyle w:val="ListParagraph"/>
        <w:numPr>
          <w:ilvl w:val="1"/>
          <w:numId w:val="12"/>
        </w:numPr>
      </w:pPr>
      <w:r w:rsidRPr="00572894">
        <w:t>The Subcommittee requests that the department provide a cover letter that details the changes made to the course submission materials in response to the feedback below.</w:t>
      </w:r>
    </w:p>
    <w:p w14:paraId="0E13CDF9" w14:textId="7E5C28AF" w:rsidR="004256B4" w:rsidRDefault="00DB286B" w:rsidP="004256B4">
      <w:pPr>
        <w:pStyle w:val="ListParagraph"/>
        <w:numPr>
          <w:ilvl w:val="1"/>
          <w:numId w:val="12"/>
        </w:numPr>
      </w:pPr>
      <w:r>
        <w:t>The Subcommitte</w:t>
      </w:r>
      <w:r w:rsidR="00EA1E5F">
        <w:t xml:space="preserve">e </w:t>
      </w:r>
      <w:proofErr w:type="gramStart"/>
      <w:r w:rsidR="00EA1E5F">
        <w:t>is not able to</w:t>
      </w:r>
      <w:proofErr w:type="gramEnd"/>
      <w:r w:rsidR="00EA1E5F">
        <w:t xml:space="preserve"> see, from the materials provided, evidence of the advanced nature of the course.  They ask that the department </w:t>
      </w:r>
      <w:r w:rsidR="004256B4">
        <w:t>give special attention to the following:</w:t>
      </w:r>
    </w:p>
    <w:p w14:paraId="0311FB60" w14:textId="1B4B3BE9" w:rsidR="004256B4" w:rsidRDefault="004256B4" w:rsidP="004256B4">
      <w:pPr>
        <w:pStyle w:val="ListParagraph"/>
        <w:numPr>
          <w:ilvl w:val="2"/>
          <w:numId w:val="12"/>
        </w:numPr>
      </w:pPr>
      <w:r>
        <w:t>The Subcommittee asks that the department amend the course</w:t>
      </w:r>
      <w:r w:rsidR="006E11D3">
        <w:t>’</w:t>
      </w:r>
      <w:r>
        <w:t xml:space="preserve">s readings to include more substantial and scholarly material from sources such as peer-reviewed journals or </w:t>
      </w:r>
      <w:r w:rsidR="00F7534F">
        <w:t xml:space="preserve">academic </w:t>
      </w:r>
      <w:r>
        <w:t>book chapters.</w:t>
      </w:r>
      <w:r w:rsidR="00F7534F">
        <w:t xml:space="preserve">  They would like to see indicated in the syllabus thorough engagement with such materials, which will model for the students the advanced mode of scholarly analysis expected </w:t>
      </w:r>
      <w:proofErr w:type="gramStart"/>
      <w:r w:rsidR="00F7534F">
        <w:t>in</w:t>
      </w:r>
      <w:proofErr w:type="gramEnd"/>
      <w:r w:rsidR="00F7534F">
        <w:t xml:space="preserve"> this level of course.</w:t>
      </w:r>
    </w:p>
    <w:p w14:paraId="6934DD34" w14:textId="765608A7" w:rsidR="004256B4" w:rsidRDefault="004256B4" w:rsidP="004256B4">
      <w:pPr>
        <w:pStyle w:val="ListParagraph"/>
        <w:numPr>
          <w:ilvl w:val="2"/>
          <w:numId w:val="12"/>
        </w:numPr>
      </w:pPr>
      <w:r>
        <w:t>The Subcommittee asks that the department amend the course</w:t>
      </w:r>
      <w:r w:rsidR="006E11D3">
        <w:t>’</w:t>
      </w:r>
      <w:r>
        <w:t xml:space="preserve">s assessments to allow students more opportunity to demonstrate their ability to “engage in critical and logical thinking” (ELO1.1) </w:t>
      </w:r>
      <w:r w:rsidR="006E11D3">
        <w:t>and</w:t>
      </w:r>
      <w:r>
        <w:t xml:space="preserve"> </w:t>
      </w:r>
      <w:r w:rsidR="00C47DAD">
        <w:t>“identify, describe and synthesize approaches or experiences” (ELO 2.1).  The</w:t>
      </w:r>
      <w:r w:rsidR="00F14498">
        <w:t>y</w:t>
      </w:r>
      <w:r w:rsidR="00C47DAD">
        <w:t xml:space="preserve"> note that </w:t>
      </w:r>
      <w:r w:rsidR="00F14498">
        <w:t xml:space="preserve">short quizzes and short writing assignments </w:t>
      </w:r>
      <w:r w:rsidR="00143F78">
        <w:t>are not usually sufficient for assessing the more advanced ELOs in Themes courses.</w:t>
      </w:r>
    </w:p>
    <w:p w14:paraId="78222711" w14:textId="3C1DC801" w:rsidR="003C2BAA" w:rsidRDefault="003C2BAA" w:rsidP="002B251F">
      <w:pPr>
        <w:pStyle w:val="ListParagraph"/>
        <w:numPr>
          <w:ilvl w:val="1"/>
          <w:numId w:val="12"/>
        </w:numPr>
      </w:pPr>
      <w:r w:rsidRPr="002F2DE5">
        <w:t xml:space="preserve">The Subcommittee asks that the </w:t>
      </w:r>
      <w:r>
        <w:t xml:space="preserve">unit </w:t>
      </w:r>
      <w:r w:rsidRPr="002F2DE5">
        <w:t xml:space="preserve">provide </w:t>
      </w:r>
      <w:r>
        <w:t>additional detail</w:t>
      </w:r>
      <w:r w:rsidRPr="002F2DE5">
        <w:t xml:space="preserve"> in the syllabus </w:t>
      </w:r>
      <w:r>
        <w:t xml:space="preserve">and the GEN form </w:t>
      </w:r>
      <w:r w:rsidRPr="002F2DE5">
        <w:t>regarding how the Theme is the central focus of the course.  Specifically, they would like to se</w:t>
      </w:r>
      <w:r>
        <w:t>e</w:t>
      </w:r>
      <w:r w:rsidRPr="002F2DE5">
        <w:t xml:space="preserve"> that </w:t>
      </w:r>
      <w:r w:rsidR="00A92AF9">
        <w:t>tradition, culture, and transformation</w:t>
      </w:r>
      <w:r>
        <w:t xml:space="preserve"> are</w:t>
      </w:r>
      <w:r w:rsidRPr="002F2DE5">
        <w:t xml:space="preserve"> an intrinsic part of the course’s </w:t>
      </w:r>
      <w:r>
        <w:t>description (curriculum.osu.edu under “General Information” and syllabus, p. 1), the course goals and ELOs (syllabus, p</w:t>
      </w:r>
      <w:r w:rsidR="00F7534F">
        <w:t xml:space="preserve">. </w:t>
      </w:r>
      <w:r w:rsidR="00A92AF9">
        <w:t>2</w:t>
      </w:r>
      <w:r>
        <w:t xml:space="preserve">), the descriptions of major course assignments (syllabus pp. </w:t>
      </w:r>
      <w:r w:rsidR="00A92AF9">
        <w:t>6-11</w:t>
      </w:r>
      <w:r>
        <w:t xml:space="preserve">) and the </w:t>
      </w:r>
      <w:r w:rsidRPr="002F2DE5">
        <w:t xml:space="preserve">readings </w:t>
      </w:r>
      <w:r>
        <w:t xml:space="preserve">and </w:t>
      </w:r>
      <w:r w:rsidR="00A92AF9">
        <w:t xml:space="preserve">weekly </w:t>
      </w:r>
      <w:r>
        <w:t xml:space="preserve">topics </w:t>
      </w:r>
      <w:r w:rsidRPr="002F2DE5">
        <w:t>(</w:t>
      </w:r>
      <w:r w:rsidR="00A92AF9">
        <w:t xml:space="preserve">syllabus </w:t>
      </w:r>
      <w:r>
        <w:t xml:space="preserve">pp. </w:t>
      </w:r>
      <w:r w:rsidR="00A92AF9">
        <w:t>15</w:t>
      </w:r>
      <w:r>
        <w:t xml:space="preserve">- </w:t>
      </w:r>
      <w:r w:rsidR="00A92AF9">
        <w:t>19</w:t>
      </w:r>
      <w:r>
        <w:t xml:space="preserve"> under “Weekly Course Schedule”</w:t>
      </w:r>
      <w:r w:rsidRPr="002F2DE5">
        <w:t>)</w:t>
      </w:r>
      <w:r>
        <w:t xml:space="preserve">.  The Subcommittee </w:t>
      </w:r>
      <w:r w:rsidRPr="002F2DE5">
        <w:t>offers the friendly advice that the</w:t>
      </w:r>
      <w:r>
        <w:t xml:space="preserve"> unit </w:t>
      </w:r>
      <w:r w:rsidRPr="002F2DE5">
        <w:t xml:space="preserve">may wish to consider how a student, looking at the syllabus, would see the Theme “signposted” throughout.  </w:t>
      </w:r>
      <w:r w:rsidR="00F7534F">
        <w:t>For instance, a more explicit focus on the evolution of film as a cultural form in social context would offer itself as a fitting framework for the Theme’s focus on cultural transformation.</w:t>
      </w:r>
    </w:p>
    <w:p w14:paraId="18FA2C23" w14:textId="0C81C222" w:rsidR="001866CC" w:rsidRDefault="001866CC" w:rsidP="002B251F">
      <w:pPr>
        <w:pStyle w:val="ListParagraph"/>
        <w:numPr>
          <w:ilvl w:val="1"/>
          <w:numId w:val="12"/>
        </w:numPr>
      </w:pPr>
      <w:r>
        <w:t xml:space="preserve">The </w:t>
      </w:r>
      <w:r w:rsidR="00A27733">
        <w:t xml:space="preserve">Subcommittee </w:t>
      </w:r>
      <w:r w:rsidR="00010C0C">
        <w:t>request</w:t>
      </w:r>
      <w:r w:rsidR="00A27733">
        <w:t xml:space="preserve">s that the department reconsider which assignments meet which ELOs.  </w:t>
      </w:r>
      <w:r w:rsidR="00010C0C">
        <w:t>They are unable</w:t>
      </w:r>
      <w:r w:rsidR="00A27733">
        <w:t xml:space="preserve"> to see how, for example, the discussion posts or a 2</w:t>
      </w:r>
      <w:r w:rsidR="00010C0C">
        <w:t>-</w:t>
      </w:r>
      <w:r w:rsidR="00A27733">
        <w:t xml:space="preserve">page reflection paper will fulfill all of the category’s ELOs.  </w:t>
      </w:r>
      <w:r w:rsidR="00EA34D4">
        <w:t xml:space="preserve">On a related note, the Subcommittee offers the friendly reminder that all students must meet </w:t>
      </w:r>
      <w:proofErr w:type="gramStart"/>
      <w:r w:rsidR="00EA34D4">
        <w:t>all of</w:t>
      </w:r>
      <w:proofErr w:type="gramEnd"/>
      <w:r w:rsidR="00EA34D4">
        <w:t xml:space="preserve"> the ELOs of the category; therefore, since students choose three of the four response papers, none of these papers can be </w:t>
      </w:r>
      <w:r w:rsidR="00EA34D4">
        <w:rPr>
          <w:i/>
          <w:iCs/>
        </w:rPr>
        <w:t xml:space="preserve">solely </w:t>
      </w:r>
      <w:r w:rsidR="00EA34D4">
        <w:t>responsible for the assessment of any given ELO.</w:t>
      </w:r>
    </w:p>
    <w:p w14:paraId="52BD32AC" w14:textId="1E3FE5FE" w:rsidR="00010C0C" w:rsidRDefault="00010C0C" w:rsidP="002B251F">
      <w:pPr>
        <w:pStyle w:val="ListParagraph"/>
        <w:numPr>
          <w:ilvl w:val="1"/>
          <w:numId w:val="12"/>
        </w:numPr>
      </w:pPr>
      <w:r>
        <w:t>The Subcommittee asks that the department amend the goals listed in curriculum.osu.edu (under Course Details).  These should list specific goals for this course rather than the goals and ELOs for all courses in the GEN category</w:t>
      </w:r>
    </w:p>
    <w:p w14:paraId="482177E2" w14:textId="385BB05D" w:rsidR="00010C0C" w:rsidRDefault="00010C0C" w:rsidP="002B251F">
      <w:pPr>
        <w:pStyle w:val="ListParagraph"/>
        <w:numPr>
          <w:ilvl w:val="1"/>
          <w:numId w:val="12"/>
        </w:numPr>
      </w:pPr>
      <w:r>
        <w:lastRenderedPageBreak/>
        <w:t>The Subcommittee recommends that the department use the</w:t>
      </w:r>
      <w:hyperlink r:id="rId5" w:history="1">
        <w:r w:rsidRPr="00B92C3D">
          <w:rPr>
            <w:rStyle w:val="Hyperlink"/>
          </w:rPr>
          <w:t xml:space="preserve"> GEN The</w:t>
        </w:r>
        <w:r w:rsidRPr="00B92C3D">
          <w:rPr>
            <w:rStyle w:val="Hyperlink"/>
          </w:rPr>
          <w:t>m</w:t>
        </w:r>
        <w:r w:rsidRPr="00B92C3D">
          <w:rPr>
            <w:rStyle w:val="Hyperlink"/>
          </w:rPr>
          <w:t>es exem</w:t>
        </w:r>
        <w:r w:rsidRPr="00B92C3D">
          <w:rPr>
            <w:rStyle w:val="Hyperlink"/>
          </w:rPr>
          <w:t>p</w:t>
        </w:r>
        <w:r w:rsidRPr="00B92C3D">
          <w:rPr>
            <w:rStyle w:val="Hyperlink"/>
          </w:rPr>
          <w:t>lars</w:t>
        </w:r>
      </w:hyperlink>
      <w:r>
        <w:t xml:space="preserve"> and the new </w:t>
      </w:r>
      <w:hyperlink r:id="rId6" w:history="1">
        <w:r w:rsidRPr="00010C0C">
          <w:rPr>
            <w:rStyle w:val="Hyperlink"/>
          </w:rPr>
          <w:t>GEN Theme Rubrics</w:t>
        </w:r>
      </w:hyperlink>
      <w:r>
        <w:t xml:space="preserve"> available on the </w:t>
      </w:r>
      <w:hyperlink r:id="rId7" w:history="1">
        <w:r w:rsidRPr="00010C0C">
          <w:rPr>
            <w:rStyle w:val="Hyperlink"/>
          </w:rPr>
          <w:t>ASCCAS website</w:t>
        </w:r>
      </w:hyperlink>
      <w:r>
        <w:t xml:space="preserve"> as resources while addressing the Subcommittee’s feedback.</w:t>
      </w:r>
    </w:p>
    <w:p w14:paraId="0E6BA3C5" w14:textId="73662BCE" w:rsidR="00B865BE" w:rsidRDefault="00B865BE" w:rsidP="002B251F">
      <w:pPr>
        <w:pStyle w:val="ListParagraph"/>
        <w:numPr>
          <w:ilvl w:val="1"/>
          <w:numId w:val="12"/>
        </w:numPr>
      </w:pPr>
      <w:r>
        <w:t xml:space="preserve">The Subcommittee </w:t>
      </w:r>
      <w:r w:rsidR="00B92C3D">
        <w:t>recommends</w:t>
      </w:r>
      <w:r>
        <w:t xml:space="preserve"> that the department consider stronger and more prominent discussion of</w:t>
      </w:r>
      <w:r w:rsidR="006E11D3">
        <w:t xml:space="preserve"> students</w:t>
      </w:r>
      <w:r w:rsidR="00B92C3D">
        <w:t>’</w:t>
      </w:r>
      <w:r w:rsidR="006E11D3">
        <w:t xml:space="preserve"> use of</w:t>
      </w:r>
      <w:r>
        <w:t xml:space="preserve"> Artificial Intelligence in the syllabus, as students are particularly </w:t>
      </w:r>
      <w:r w:rsidR="006E11D3">
        <w:t>prone</w:t>
      </w:r>
      <w:r>
        <w:t xml:space="preserve"> to using this for short writing assignments.</w:t>
      </w:r>
    </w:p>
    <w:p w14:paraId="73E30506" w14:textId="673A23E2" w:rsidR="00010C0C" w:rsidRDefault="00010C0C" w:rsidP="002B251F">
      <w:pPr>
        <w:pStyle w:val="ListParagraph"/>
        <w:numPr>
          <w:ilvl w:val="1"/>
          <w:numId w:val="12"/>
        </w:numPr>
      </w:pPr>
      <w:r>
        <w:t xml:space="preserve">The Subcommittee recommends that the department reconsider the formatting and organization of the syllabus, as the </w:t>
      </w:r>
      <w:r w:rsidR="00B865BE">
        <w:t>variety of fonts, font sizes, and layouts make the syllabus difficult for students to read and understand.</w:t>
      </w:r>
    </w:p>
    <w:p w14:paraId="3DAA8C08" w14:textId="7C7EC3B8" w:rsidR="005F2E16" w:rsidRDefault="00B865BE" w:rsidP="0072274E">
      <w:pPr>
        <w:pStyle w:val="ListParagraph"/>
        <w:numPr>
          <w:ilvl w:val="1"/>
          <w:numId w:val="12"/>
        </w:numPr>
      </w:pPr>
      <w:r>
        <w:t>The Subcommittee d</w:t>
      </w:r>
      <w:r w:rsidR="005F2E16">
        <w:t>ecline</w:t>
      </w:r>
      <w:r>
        <w:t>d</w:t>
      </w:r>
      <w:r w:rsidR="005F2E16">
        <w:t xml:space="preserve"> to vote on the course at this time</w:t>
      </w:r>
    </w:p>
    <w:p w14:paraId="7FFDE326" w14:textId="77777777" w:rsidR="006E11D3" w:rsidRPr="00333278" w:rsidRDefault="006E11D3" w:rsidP="006E11D3">
      <w:pPr>
        <w:pStyle w:val="ListParagraph"/>
      </w:pPr>
    </w:p>
    <w:p w14:paraId="5DE9BA3F" w14:textId="77777777" w:rsidR="006232AA" w:rsidRDefault="006232AA" w:rsidP="006232AA">
      <w:pPr>
        <w:pStyle w:val="ListParagraph"/>
        <w:numPr>
          <w:ilvl w:val="0"/>
          <w:numId w:val="12"/>
        </w:numPr>
      </w:pPr>
      <w:r w:rsidRPr="006232AA">
        <w:t>AAAS/Religious Studies 4343 (new course requesting GEN Theme: Traditions, Cultures, and Transformations)</w:t>
      </w:r>
    </w:p>
    <w:p w14:paraId="3CD090DD" w14:textId="50902E0D" w:rsidR="002E4C26" w:rsidRDefault="00B865BE" w:rsidP="002E4C26">
      <w:pPr>
        <w:pStyle w:val="ListParagraph"/>
        <w:numPr>
          <w:ilvl w:val="1"/>
          <w:numId w:val="12"/>
        </w:numPr>
      </w:pPr>
      <w:r>
        <w:rPr>
          <w:b/>
          <w:bCs/>
        </w:rPr>
        <w:t xml:space="preserve">Contingency: </w:t>
      </w:r>
      <w:r w:rsidRPr="002F2DE5">
        <w:t xml:space="preserve">The Subcommittee asks that the </w:t>
      </w:r>
      <w:r>
        <w:t xml:space="preserve">unit </w:t>
      </w:r>
      <w:r w:rsidRPr="002F2DE5">
        <w:t xml:space="preserve">provide </w:t>
      </w:r>
      <w:r>
        <w:t>additional detail</w:t>
      </w:r>
      <w:r w:rsidRPr="002F2DE5">
        <w:t xml:space="preserve"> in the syllabus </w:t>
      </w:r>
      <w:r>
        <w:t xml:space="preserve">and the GEN form </w:t>
      </w:r>
      <w:r w:rsidRPr="002F2DE5">
        <w:t>regarding how the Theme is the central focus of the course.  Specifically, they would like to se</w:t>
      </w:r>
      <w:r>
        <w:t>e</w:t>
      </w:r>
      <w:r w:rsidRPr="002F2DE5">
        <w:t xml:space="preserve"> that </w:t>
      </w:r>
      <w:r>
        <w:t>tradition, culture, and transformation are</w:t>
      </w:r>
      <w:r w:rsidRPr="002F2DE5">
        <w:t xml:space="preserve"> an intrinsic part of </w:t>
      </w:r>
      <w:r>
        <w:t xml:space="preserve">the descriptions of major course assignments (syllabus pp. </w:t>
      </w:r>
      <w:r w:rsidR="002E4C26">
        <w:t>1-2</w:t>
      </w:r>
      <w:r>
        <w:t xml:space="preserve">).  </w:t>
      </w:r>
      <w:r w:rsidR="002E4C26">
        <w:t>The Subcommittee requests that this additional detail include a sample of the prompts/questions for the journal entries and more information about how the instructor of the course will ensure that the topic of the research paper i</w:t>
      </w:r>
      <w:r w:rsidR="00B92C3D">
        <w:t>s</w:t>
      </w:r>
      <w:r w:rsidR="002E4C26">
        <w:t xml:space="preserve"> entwined with the Theme. </w:t>
      </w:r>
      <w:r>
        <w:t xml:space="preserve">The Subcommittee </w:t>
      </w:r>
      <w:r w:rsidRPr="002F2DE5">
        <w:t>offers the friendly advice that the</w:t>
      </w:r>
      <w:r>
        <w:t xml:space="preserve"> unit</w:t>
      </w:r>
      <w:r w:rsidR="00B92C3D">
        <w:t>s</w:t>
      </w:r>
      <w:r>
        <w:t xml:space="preserve"> </w:t>
      </w:r>
      <w:r w:rsidRPr="002F2DE5">
        <w:t xml:space="preserve">may wish to consider how a student, looking at the syllabus, would see the Theme “signposted” </w:t>
      </w:r>
      <w:r>
        <w:t>in these assignment descriptions</w:t>
      </w:r>
      <w:r w:rsidRPr="002F2DE5">
        <w:t xml:space="preserve">.  </w:t>
      </w:r>
    </w:p>
    <w:p w14:paraId="51B818FC" w14:textId="3278ADBD" w:rsidR="001D61D4" w:rsidRDefault="001D61D4" w:rsidP="005F2E16">
      <w:pPr>
        <w:pStyle w:val="ListParagraph"/>
        <w:numPr>
          <w:ilvl w:val="1"/>
          <w:numId w:val="12"/>
        </w:numPr>
      </w:pPr>
      <w:r>
        <w:t>Rehbeck, Ottesen; unanimously approved</w:t>
      </w:r>
      <w:r w:rsidR="002E4C26">
        <w:t xml:space="preserve"> with </w:t>
      </w:r>
      <w:r w:rsidR="002E4C26">
        <w:rPr>
          <w:b/>
          <w:bCs/>
        </w:rPr>
        <w:t xml:space="preserve">one contingency </w:t>
      </w:r>
      <w:r w:rsidR="002E4C26">
        <w:t>(in bold above).</w:t>
      </w:r>
    </w:p>
    <w:p w14:paraId="60A2D658" w14:textId="77777777" w:rsidR="002E4C26" w:rsidRDefault="002E4C26" w:rsidP="002E4C26">
      <w:pPr>
        <w:pStyle w:val="ListParagraph"/>
      </w:pPr>
    </w:p>
    <w:p w14:paraId="6A9AE989" w14:textId="77777777" w:rsidR="006232AA" w:rsidRDefault="006232AA" w:rsidP="006232AA">
      <w:pPr>
        <w:pStyle w:val="ListParagraph"/>
        <w:numPr>
          <w:ilvl w:val="0"/>
          <w:numId w:val="12"/>
        </w:numPr>
      </w:pPr>
      <w:r w:rsidRPr="006232AA">
        <w:t>Pharmacy 3430S (existing course requesting GEN Theme Health and Wellbeing </w:t>
      </w:r>
      <w:r w:rsidRPr="006232AA">
        <w:rPr>
          <w:b/>
          <w:bCs/>
        </w:rPr>
        <w:t>with Service-Learning High Impact Practice</w:t>
      </w:r>
      <w:r w:rsidRPr="006232AA">
        <w:t>) (return)</w:t>
      </w:r>
    </w:p>
    <w:p w14:paraId="6D5E6C0D" w14:textId="016AFC5B" w:rsidR="007B7EB0" w:rsidRDefault="007B7EB0" w:rsidP="007B7EB0">
      <w:pPr>
        <w:pStyle w:val="ListParagraph"/>
        <w:numPr>
          <w:ilvl w:val="1"/>
          <w:numId w:val="12"/>
        </w:numPr>
      </w:pPr>
      <w:r w:rsidRPr="00572894">
        <w:t xml:space="preserve">The Subcommittee requests that the </w:t>
      </w:r>
      <w:r w:rsidR="00B92C3D">
        <w:t xml:space="preserve">college </w:t>
      </w:r>
      <w:r w:rsidRPr="00572894">
        <w:t>provide a cover letter that details the changes made to the course submission materials in response to the feedback below.</w:t>
      </w:r>
    </w:p>
    <w:p w14:paraId="75136A28" w14:textId="3FE593B2" w:rsidR="001B0A82" w:rsidRDefault="001B0A82" w:rsidP="0082274C">
      <w:pPr>
        <w:pStyle w:val="ListParagraph"/>
        <w:numPr>
          <w:ilvl w:val="1"/>
          <w:numId w:val="12"/>
        </w:numPr>
      </w:pPr>
      <w:r>
        <w:t xml:space="preserve">The Subcommittee thanks the </w:t>
      </w:r>
      <w:r w:rsidR="00B92C3D">
        <w:t>college</w:t>
      </w:r>
      <w:r>
        <w:t xml:space="preserve"> for providing a </w:t>
      </w:r>
      <w:r w:rsidR="007B7EB0">
        <w:t>list of the readings for the course.  However, th</w:t>
      </w:r>
      <w:r w:rsidR="008E73E7">
        <w:t>e</w:t>
      </w:r>
      <w:r w:rsidR="007B7EB0">
        <w:t xml:space="preserve"> list has raised additional questions and concerns:</w:t>
      </w:r>
    </w:p>
    <w:p w14:paraId="27CF0AB3" w14:textId="044F19E6" w:rsidR="007B7EB0" w:rsidRDefault="007B7EB0" w:rsidP="008E73E7">
      <w:pPr>
        <w:pStyle w:val="ListParagraph"/>
        <w:numPr>
          <w:ilvl w:val="2"/>
          <w:numId w:val="12"/>
        </w:numPr>
      </w:pPr>
      <w:r>
        <w:t>The Subcommittee notes that many of the readings are very advanced; in order for students to be able to interact with these texts at a level that is required for a Themes course</w:t>
      </w:r>
      <w:r w:rsidR="008E73E7">
        <w:t xml:space="preserve"> (i.e.</w:t>
      </w:r>
      <w:r>
        <w:t>,</w:t>
      </w:r>
      <w:r w:rsidR="008E73E7">
        <w:t xml:space="preserve"> “engage in critical…thinking” [ELO 1.1] and “identify, describe, and synthesize approaches…as they apply to the theme” [ELO 2.1]), </w:t>
      </w:r>
      <w:r>
        <w:t xml:space="preserve"> the Subcommittee believes that additional prerequisites would be needed.  However, since Themes courses should have few or no prerequisites, the Subcommittee asks</w:t>
      </w:r>
      <w:r w:rsidR="00B92C3D">
        <w:t xml:space="preserve"> instead</w:t>
      </w:r>
      <w:r>
        <w:t xml:space="preserve"> that the </w:t>
      </w:r>
      <w:r w:rsidR="00B92C3D">
        <w:t>college</w:t>
      </w:r>
      <w:r>
        <w:t xml:space="preserve"> amend the reading list to include scholarly articles and other academic writing that will be accessible to a broader </w:t>
      </w:r>
      <w:r w:rsidR="006E11D3">
        <w:t xml:space="preserve">GE </w:t>
      </w:r>
      <w:r>
        <w:t>audience.</w:t>
      </w:r>
      <w:r w:rsidR="008E73E7">
        <w:t xml:space="preserve">  </w:t>
      </w:r>
    </w:p>
    <w:p w14:paraId="148ABCD5" w14:textId="2F846D2F" w:rsidR="00B145EE" w:rsidRDefault="00B145EE" w:rsidP="007B7EB0">
      <w:pPr>
        <w:pStyle w:val="ListParagraph"/>
        <w:numPr>
          <w:ilvl w:val="2"/>
          <w:numId w:val="12"/>
        </w:numPr>
      </w:pPr>
      <w:r w:rsidRPr="00B145EE">
        <w:t xml:space="preserve">The Subcommittee asks that the </w:t>
      </w:r>
      <w:r w:rsidR="00B92C3D">
        <w:t>college</w:t>
      </w:r>
      <w:r w:rsidRPr="00B145EE">
        <w:t xml:space="preserve"> provide additional information about the course’s readings in the syllabus.  Specifically, they ask that full citations of the readings be included in the Course Schedule so that they can get an idea of the course’s workload, the pace of the course, and how the course’s readings overlay with the listed topics.</w:t>
      </w:r>
    </w:p>
    <w:p w14:paraId="0E03148F" w14:textId="36D42DD3" w:rsidR="00B145EE" w:rsidRDefault="00B145EE" w:rsidP="007B7EB0">
      <w:pPr>
        <w:pStyle w:val="ListParagraph"/>
        <w:numPr>
          <w:ilvl w:val="2"/>
          <w:numId w:val="12"/>
        </w:numPr>
      </w:pPr>
      <w:r>
        <w:lastRenderedPageBreak/>
        <w:t xml:space="preserve">The Subcommittee thanks the </w:t>
      </w:r>
      <w:r w:rsidR="00B92C3D">
        <w:t>college</w:t>
      </w:r>
      <w:r>
        <w:t xml:space="preserve"> for including in the </w:t>
      </w:r>
      <w:r w:rsidR="001940B5">
        <w:t xml:space="preserve">cover letter an example of the approach to the Hypothes.is questions.  However, they note that this seems to be an example from a different course; the Subcommittee asks that the department provide examples </w:t>
      </w:r>
      <w:r w:rsidR="00307632">
        <w:t xml:space="preserve">of questions that will be used </w:t>
      </w:r>
      <w:proofErr w:type="gramStart"/>
      <w:r w:rsidR="00307632">
        <w:t>in</w:t>
      </w:r>
      <w:proofErr w:type="gramEnd"/>
      <w:r w:rsidR="00307632">
        <w:t xml:space="preserve"> </w:t>
      </w:r>
      <w:r w:rsidR="00307632" w:rsidRPr="006E11D3">
        <w:rPr>
          <w:i/>
          <w:iCs/>
        </w:rPr>
        <w:t>this</w:t>
      </w:r>
      <w:r w:rsidR="00307632">
        <w:t xml:space="preserve"> course, so they can get a better idea of how students will be guided in their interactions with the readings.</w:t>
      </w:r>
    </w:p>
    <w:p w14:paraId="237D1774" w14:textId="47D87E66" w:rsidR="008E73E7" w:rsidRDefault="008E73E7" w:rsidP="0082274C">
      <w:pPr>
        <w:pStyle w:val="ListParagraph"/>
        <w:numPr>
          <w:ilvl w:val="1"/>
          <w:numId w:val="12"/>
        </w:numPr>
      </w:pPr>
      <w:r>
        <w:t xml:space="preserve">The Subcommittee asks that the </w:t>
      </w:r>
      <w:r w:rsidR="00B92C3D">
        <w:t>college</w:t>
      </w:r>
      <w:r>
        <w:t xml:space="preserve"> </w:t>
      </w:r>
      <w:proofErr w:type="gramStart"/>
      <w:r>
        <w:t>provide</w:t>
      </w:r>
      <w:proofErr w:type="gramEnd"/>
      <w:r>
        <w:t xml:space="preserve"> explicit information in the syllabus</w:t>
      </w:r>
      <w:r w:rsidR="00EC2618">
        <w:t xml:space="preserve"> regarding what community is </w:t>
      </w:r>
      <w:proofErr w:type="gramStart"/>
      <w:r w:rsidR="00EC2618">
        <w:t>benefitting</w:t>
      </w:r>
      <w:proofErr w:type="gramEnd"/>
      <w:r w:rsidR="00EC2618">
        <w:t xml:space="preserve"> from the service</w:t>
      </w:r>
      <w:r w:rsidR="006E11D3">
        <w:t>-learning component of the course</w:t>
      </w:r>
      <w:r w:rsidR="00EC2618">
        <w:t xml:space="preserve">; it is not clear from the current materials whether the target community is the cancer patients and their families, or the </w:t>
      </w:r>
      <w:proofErr w:type="spellStart"/>
      <w:r w:rsidR="00EC2618">
        <w:t>Pel</w:t>
      </w:r>
      <w:r w:rsidR="00142C03">
        <w:t>o</w:t>
      </w:r>
      <w:r w:rsidR="00EC2618">
        <w:t>tonia</w:t>
      </w:r>
      <w:proofErr w:type="spellEnd"/>
      <w:r w:rsidR="00EC2618">
        <w:t xml:space="preserve"> organization.</w:t>
      </w:r>
    </w:p>
    <w:p w14:paraId="7C9CC0DF" w14:textId="18334A32" w:rsidR="00EC2618" w:rsidRDefault="00EC2618" w:rsidP="0082274C">
      <w:pPr>
        <w:pStyle w:val="ListParagraph"/>
        <w:numPr>
          <w:ilvl w:val="1"/>
          <w:numId w:val="12"/>
        </w:numPr>
      </w:pPr>
      <w:r>
        <w:t xml:space="preserve">The Subcommittee asks that the </w:t>
      </w:r>
      <w:r w:rsidR="00142C03">
        <w:t>college</w:t>
      </w:r>
      <w:r>
        <w:t xml:space="preserve"> clarify for students in the syllabus how and when they will receive instruction on interpreting the complex scientific information presented in the articles </w:t>
      </w:r>
      <w:r w:rsidR="00B00319">
        <w:t xml:space="preserve">for </w:t>
      </w:r>
      <w:r>
        <w:t>communicat</w:t>
      </w:r>
      <w:r w:rsidR="00B00319">
        <w:t>ion</w:t>
      </w:r>
      <w:r>
        <w:t xml:space="preserve"> to a “lay” audience.</w:t>
      </w:r>
      <w:r w:rsidR="00B00319">
        <w:t xml:space="preserve"> On a related note, the Subcommittee is concerned about whether the student-created campaigns will </w:t>
      </w:r>
      <w:proofErr w:type="gramStart"/>
      <w:r w:rsidR="00B00319">
        <w:t>actually be</w:t>
      </w:r>
      <w:proofErr w:type="gramEnd"/>
      <w:r w:rsidR="00B00319">
        <w:t xml:space="preserve"> used by the </w:t>
      </w:r>
      <w:proofErr w:type="spellStart"/>
      <w:r w:rsidR="00B00319">
        <w:t>Pel</w:t>
      </w:r>
      <w:r w:rsidR="00142C03">
        <w:t>o</w:t>
      </w:r>
      <w:r w:rsidR="00B00319">
        <w:t>tonia</w:t>
      </w:r>
      <w:proofErr w:type="spellEnd"/>
      <w:r w:rsidR="00B00319">
        <w:t xml:space="preserve"> organization, </w:t>
      </w:r>
      <w:r w:rsidR="00142C03">
        <w:t xml:space="preserve">which presumably has its own marketing department, </w:t>
      </w:r>
      <w:r w:rsidR="00B00319">
        <w:t>and, if not, what that means for the service-learning aspect of the course.</w:t>
      </w:r>
    </w:p>
    <w:p w14:paraId="11CC7EC4" w14:textId="4713B1DF" w:rsidR="006E4CBB" w:rsidRDefault="006E4CBB" w:rsidP="0082274C">
      <w:pPr>
        <w:pStyle w:val="ListParagraph"/>
        <w:numPr>
          <w:ilvl w:val="1"/>
          <w:numId w:val="12"/>
        </w:numPr>
      </w:pPr>
      <w:r>
        <w:t xml:space="preserve">The Subcommittee asks that the </w:t>
      </w:r>
      <w:r w:rsidR="00142C03">
        <w:t>college</w:t>
      </w:r>
      <w:r>
        <w:t xml:space="preserve"> </w:t>
      </w:r>
      <w:r w:rsidR="006E11D3">
        <w:t>amend</w:t>
      </w:r>
      <w:r>
        <w:t xml:space="preserve"> the course’s </w:t>
      </w:r>
      <w:r w:rsidR="006E11D3">
        <w:t>meeting times to align with the requirements for a 4-credit hour course</w:t>
      </w:r>
      <w:r>
        <w:t>.  A four-</w:t>
      </w:r>
      <w:r w:rsidR="00142C03">
        <w:t>credit-hour</w:t>
      </w:r>
      <w:r>
        <w:t xml:space="preserve"> course should have a total of approximately 12 hours/week of work for students.  In a typical lecture or seminar course, this would entail approx. 4 hours of in-classroom instruction and 8 hours of outside work.  Internship/experiential learning/laboratory hours should have the opposite ratio, i.e., for 4 credits of experiential learning, students would spend</w:t>
      </w:r>
      <w:r w:rsidR="006B3F88">
        <w:t xml:space="preserve"> approx.</w:t>
      </w:r>
      <w:r>
        <w:t xml:space="preserve"> 8 hours/week “on site</w:t>
      </w:r>
      <w:r w:rsidR="006E11D3">
        <w:t xml:space="preserve">” </w:t>
      </w:r>
      <w:r>
        <w:t>and</w:t>
      </w:r>
      <w:r w:rsidR="006B3F88">
        <w:t xml:space="preserve"> approx.</w:t>
      </w:r>
      <w:r>
        <w:t xml:space="preserve"> </w:t>
      </w:r>
      <w:r w:rsidR="006B3F88">
        <w:t xml:space="preserve">4 hours on preparatory or post-experience work.  </w:t>
      </w:r>
      <w:r>
        <w:t xml:space="preserve">Since </w:t>
      </w:r>
      <w:r w:rsidR="006B3F88">
        <w:t xml:space="preserve">the </w:t>
      </w:r>
      <w:r w:rsidR="00142C03">
        <w:t>college’s</w:t>
      </w:r>
      <w:r w:rsidR="006B3F88">
        <w:t xml:space="preserve"> cover letter indicates that </w:t>
      </w:r>
      <w:r>
        <w:t>this course</w:t>
      </w:r>
      <w:r w:rsidR="006B3F88">
        <w:t xml:space="preserve">’s credit hours are divided equally between the lecture format and the experiential learning component, students should spend approx. </w:t>
      </w:r>
      <w:r w:rsidR="005D44FE">
        <w:t xml:space="preserve">4 hours/week on site, and 2 hours/week completing work related to the service-learning outside of the </w:t>
      </w:r>
      <w:proofErr w:type="spellStart"/>
      <w:r w:rsidR="005D44FE">
        <w:t>Pel</w:t>
      </w:r>
      <w:r w:rsidR="00142C03">
        <w:t>o</w:t>
      </w:r>
      <w:r w:rsidR="005D44FE">
        <w:t>tonia</w:t>
      </w:r>
      <w:proofErr w:type="spellEnd"/>
      <w:r w:rsidR="005D44FE">
        <w:t xml:space="preserve"> offices.  If the </w:t>
      </w:r>
      <w:r w:rsidR="00142C03">
        <w:t>college</w:t>
      </w:r>
      <w:r w:rsidR="005D44FE">
        <w:t xml:space="preserve"> wishes to keep the structure that was outlined in the cover letter</w:t>
      </w:r>
      <w:r w:rsidR="006E11D3">
        <w:t xml:space="preserve"> (i.e., only 2 hours on site and 4 hours</w:t>
      </w:r>
      <w:r w:rsidR="00142C03">
        <w:t xml:space="preserve"> </w:t>
      </w:r>
      <w:r w:rsidR="006E11D3">
        <w:t>of pre/post work)</w:t>
      </w:r>
      <w:r w:rsidR="005D44FE">
        <w:t xml:space="preserve">, that </w:t>
      </w:r>
      <w:proofErr w:type="gramStart"/>
      <w:r w:rsidR="005D44FE">
        <w:t>would</w:t>
      </w:r>
      <w:proofErr w:type="gramEnd"/>
      <w:r w:rsidR="005D44FE">
        <w:t xml:space="preserve"> require the instructor of </w:t>
      </w:r>
      <w:proofErr w:type="gramStart"/>
      <w:r w:rsidR="005D44FE">
        <w:t>record</w:t>
      </w:r>
      <w:proofErr w:type="gramEnd"/>
      <w:r w:rsidR="005D44FE">
        <w:t xml:space="preserve"> to be on-site with students at the </w:t>
      </w:r>
      <w:proofErr w:type="spellStart"/>
      <w:r w:rsidR="005D44FE">
        <w:t>Peletonia</w:t>
      </w:r>
      <w:proofErr w:type="spellEnd"/>
      <w:r w:rsidR="005D44FE">
        <w:t xml:space="preserve"> offices and provide instruction during that time.</w:t>
      </w:r>
      <w:r w:rsidR="00142C03">
        <w:t xml:space="preserve">  It may be useful to consult the following information about credit hours on the </w:t>
      </w:r>
      <w:hyperlink r:id="rId8" w:history="1">
        <w:r w:rsidR="00142C03" w:rsidRPr="00142C03">
          <w:rPr>
            <w:rStyle w:val="Hyperlink"/>
          </w:rPr>
          <w:t>ASCCAS website</w:t>
        </w:r>
      </w:hyperlink>
      <w:r w:rsidR="00142C03">
        <w:t>.</w:t>
      </w:r>
    </w:p>
    <w:p w14:paraId="44F8BF40" w14:textId="2C87BFB2" w:rsidR="005D44FE" w:rsidRDefault="005D44FE" w:rsidP="0082274C">
      <w:pPr>
        <w:pStyle w:val="ListParagraph"/>
        <w:numPr>
          <w:ilvl w:val="1"/>
          <w:numId w:val="12"/>
        </w:numPr>
      </w:pPr>
      <w:r>
        <w:t xml:space="preserve">The Subcommittee thanks the </w:t>
      </w:r>
      <w:r w:rsidR="00142C03">
        <w:t>college</w:t>
      </w:r>
      <w:r>
        <w:t xml:space="preserve"> for adding a GE explanatory paragraph (syllabus, p. 2), but they ask that the paragraph </w:t>
      </w:r>
      <w:r w:rsidR="006E11D3">
        <w:t>b</w:t>
      </w:r>
      <w:r>
        <w:t xml:space="preserve">e amended </w:t>
      </w:r>
      <w:r w:rsidR="00AB3086">
        <w:t>to connect the course’s activities and assessments directly to the GE ELOs.</w:t>
      </w:r>
    </w:p>
    <w:p w14:paraId="00AC69D9" w14:textId="7737A9E2" w:rsidR="00AB3086" w:rsidRDefault="00AB3086" w:rsidP="0082274C">
      <w:pPr>
        <w:pStyle w:val="ListParagraph"/>
        <w:numPr>
          <w:ilvl w:val="1"/>
          <w:numId w:val="12"/>
        </w:numPr>
      </w:pPr>
      <w:r>
        <w:t xml:space="preserve">The Subcommittee asks that the </w:t>
      </w:r>
      <w:r w:rsidR="00142C03">
        <w:t>college</w:t>
      </w:r>
      <w:r>
        <w:t xml:space="preserve"> include in the syllabus (p. 2-3) a complete listing of the goals and ELOs of the GEN Health and Wellbeing category.  Currently, the syllabus only includes the category’s goals.  The GEN goals and ELOS are available in an easy-to-copy/paste format on the </w:t>
      </w:r>
      <w:hyperlink r:id="rId9" w:history="1">
        <w:r w:rsidRPr="00AB3086">
          <w:rPr>
            <w:rStyle w:val="Hyperlink"/>
          </w:rPr>
          <w:t>ASCCAS website</w:t>
        </w:r>
      </w:hyperlink>
      <w:r>
        <w:t>.</w:t>
      </w:r>
    </w:p>
    <w:p w14:paraId="5A84F31F" w14:textId="23D98AC5" w:rsidR="00AA4531" w:rsidRDefault="00AB3086" w:rsidP="00BA206E">
      <w:pPr>
        <w:pStyle w:val="ListParagraph"/>
        <w:numPr>
          <w:ilvl w:val="1"/>
          <w:numId w:val="12"/>
        </w:numPr>
      </w:pPr>
      <w:r>
        <w:t>The Subcommittee declined to vote on the course at this time.</w:t>
      </w:r>
    </w:p>
    <w:p w14:paraId="79794AB0" w14:textId="77777777" w:rsidR="005F5174" w:rsidRPr="001B0A82" w:rsidRDefault="005F5174" w:rsidP="005F5174">
      <w:pPr>
        <w:pStyle w:val="ListParagraph"/>
      </w:pPr>
    </w:p>
    <w:p w14:paraId="53FE2720" w14:textId="77777777" w:rsidR="006232AA" w:rsidRDefault="006232AA" w:rsidP="006232AA">
      <w:pPr>
        <w:pStyle w:val="ListParagraph"/>
        <w:numPr>
          <w:ilvl w:val="0"/>
          <w:numId w:val="12"/>
        </w:numPr>
      </w:pPr>
      <w:r w:rsidRPr="006232AA">
        <w:t>Civics, Law, and Leadership 2200 (new course requesting GEN Theme Health and Wellbeing) (return; previously approved with contingency)</w:t>
      </w:r>
    </w:p>
    <w:p w14:paraId="144B95DF" w14:textId="559F5C24" w:rsidR="0052455A" w:rsidRDefault="0052455A" w:rsidP="0052455A">
      <w:pPr>
        <w:pStyle w:val="ListParagraph"/>
        <w:numPr>
          <w:ilvl w:val="1"/>
          <w:numId w:val="12"/>
        </w:numPr>
      </w:pPr>
      <w:r>
        <w:t>Note: The Subcommittee notes that contingencies “b”, “g”, and “h” from the feedback sent to the unit on Sept. 26</w:t>
      </w:r>
      <w:r w:rsidRPr="0052455A">
        <w:rPr>
          <w:vertAlign w:val="superscript"/>
        </w:rPr>
        <w:t>th</w:t>
      </w:r>
      <w:r>
        <w:t xml:space="preserve"> were met, and they thank the unit for their attention to these matters.  Unfortunately, the Subcommittee has determined that the other contingencies wer</w:t>
      </w:r>
      <w:r w:rsidRPr="005F5174">
        <w:t>e not</w:t>
      </w:r>
      <w:r>
        <w:t xml:space="preserve"> met; they offer feedback on these items as well as some additional issues that have come to light below.  </w:t>
      </w:r>
    </w:p>
    <w:p w14:paraId="4FA891E3" w14:textId="5721581D" w:rsidR="0052455A" w:rsidRDefault="0052455A" w:rsidP="0052455A">
      <w:pPr>
        <w:pStyle w:val="ListParagraph"/>
        <w:numPr>
          <w:ilvl w:val="1"/>
          <w:numId w:val="12"/>
        </w:numPr>
      </w:pPr>
      <w:r>
        <w:t xml:space="preserve">Comment: From the submitted materials, the Subcommittee does not see the Health and Wellbeing theme as central to the course, but rather something done “in addition to” the course’s main content.  They offer the friendly </w:t>
      </w:r>
      <w:r w:rsidR="002B72D8">
        <w:t xml:space="preserve">reminder that the course’s assessments must directly align with the GEN Goals and ELOs, and the friendly </w:t>
      </w:r>
      <w:r>
        <w:t>observation that responding to the feedback below will likely be helpful in making sure that the Health and Wellbeing Theme is fully integrated into the course</w:t>
      </w:r>
      <w:r w:rsidR="002B72D8">
        <w:t xml:space="preserve"> and its assessments</w:t>
      </w:r>
      <w:r>
        <w:t>.</w:t>
      </w:r>
    </w:p>
    <w:p w14:paraId="2CFC522E" w14:textId="6B789F76" w:rsidR="0052455A" w:rsidRDefault="0052455A" w:rsidP="0052455A">
      <w:pPr>
        <w:pStyle w:val="ListParagraph"/>
        <w:numPr>
          <w:ilvl w:val="1"/>
          <w:numId w:val="12"/>
        </w:numPr>
      </w:pPr>
      <w:r>
        <w:rPr>
          <w:b/>
          <w:bCs/>
        </w:rPr>
        <w:t xml:space="preserve">Contingency: </w:t>
      </w:r>
      <w:r>
        <w:t xml:space="preserve">The Subcommittee requests that the Center provide a </w:t>
      </w:r>
      <w:r w:rsidR="007279F4">
        <w:t xml:space="preserve">new </w:t>
      </w:r>
      <w:r>
        <w:t>cover letter that details the</w:t>
      </w:r>
      <w:r w:rsidR="007279F4">
        <w:t xml:space="preserve"> </w:t>
      </w:r>
      <w:r>
        <w:t>changes made to the course submission materials in response to the feedback below.</w:t>
      </w:r>
      <w:r>
        <w:cr/>
      </w:r>
    </w:p>
    <w:p w14:paraId="30F5AC23" w14:textId="0870F387" w:rsidR="0052455A" w:rsidRDefault="007279F4" w:rsidP="00460838">
      <w:pPr>
        <w:pStyle w:val="ListParagraph"/>
        <w:numPr>
          <w:ilvl w:val="1"/>
          <w:numId w:val="12"/>
        </w:numPr>
      </w:pPr>
      <w:r>
        <w:rPr>
          <w:b/>
          <w:bCs/>
        </w:rPr>
        <w:t xml:space="preserve">Contingency: </w:t>
      </w:r>
      <w:r w:rsidR="0052455A">
        <w:t>In response to contingency “c”</w:t>
      </w:r>
      <w:r w:rsidR="005F5174">
        <w:t xml:space="preserve"> from the 9/26 feedback</w:t>
      </w:r>
      <w:r w:rsidR="0052455A">
        <w:t xml:space="preserve">, regarding </w:t>
      </w:r>
      <w:r>
        <w:t xml:space="preserve">how the course is defining happiness and how that is related to Health and Wellbeing, the Subcommittee appreciates the changes made by the Center, but they feel that a “working” or “starting” definition is necessary for them to evaluate how this concept will relate to the Theme.  They ask that the syllabus (p. 1) be augmented to reflect this, and that the Center </w:t>
      </w:r>
      <w:r w:rsidR="00706BAE">
        <w:t>explicitly</w:t>
      </w:r>
      <w:r>
        <w:t xml:space="preserve"> connect the concept of “happiness” to Health and Wellbeing.</w:t>
      </w:r>
      <w:r w:rsidR="00142C03">
        <w:t xml:space="preserve">  To this end, it is not sufficient to add texts as optional readings.  Instead, course design should integrate this conceptual apparatus, which relates also to point b) (centering the GE Theme rather than treating it as an afterthought).  See also point f) below.</w:t>
      </w:r>
    </w:p>
    <w:p w14:paraId="6EA7DF3C" w14:textId="11054772" w:rsidR="00706BAE" w:rsidRDefault="007279F4" w:rsidP="005F5174">
      <w:pPr>
        <w:pStyle w:val="ListParagraph"/>
        <w:numPr>
          <w:ilvl w:val="1"/>
          <w:numId w:val="12"/>
        </w:numPr>
      </w:pPr>
      <w:r>
        <w:rPr>
          <w:b/>
          <w:bCs/>
        </w:rPr>
        <w:t xml:space="preserve">Contingency: </w:t>
      </w:r>
      <w:r>
        <w:t>In response to contingency “d”</w:t>
      </w:r>
      <w:r w:rsidR="005F5174" w:rsidRPr="005F5174">
        <w:t xml:space="preserve"> </w:t>
      </w:r>
      <w:r w:rsidR="005F5174">
        <w:t>from the 9/26 feedback</w:t>
      </w:r>
      <w:r>
        <w:t>, regarding additions to the course calendar that “</w:t>
      </w:r>
      <w:r w:rsidR="00706BAE" w:rsidRPr="00706BAE">
        <w:t>include (early in the course) some material that explicitly and clearly lays out the</w:t>
      </w:r>
      <w:r w:rsidR="005F5174">
        <w:t xml:space="preserve"> </w:t>
      </w:r>
      <w:r w:rsidR="00706BAE" w:rsidRPr="00706BAE">
        <w:t>connection between happiness and health and wellbeing in a scholarly and evidence-based</w:t>
      </w:r>
      <w:r w:rsidR="00706BAE">
        <w:t xml:space="preserve"> </w:t>
      </w:r>
      <w:r w:rsidR="00706BAE" w:rsidRPr="00706BAE">
        <w:t>framework</w:t>
      </w:r>
      <w:r w:rsidR="00706BAE">
        <w:t>”, the Subcommittee did not see this contingency explicitly called out in the cover letter. While they assume that the 4 additional articles alluded to in response to contingency “c” are intended to address this, they still find the connection to be unclear</w:t>
      </w:r>
      <w:r w:rsidR="005F5174">
        <w:t>.</w:t>
      </w:r>
      <w:r w:rsidR="00706BAE">
        <w:t xml:space="preserve">  They ask that the Center further amend the course schedule/readings </w:t>
      </w:r>
      <w:r w:rsidR="002F479B">
        <w:t xml:space="preserve">and plans for weekly discussions and lectures </w:t>
      </w:r>
      <w:r w:rsidR="00706BAE">
        <w:t>to clearly and explicitly emphasize this connection.</w:t>
      </w:r>
      <w:r w:rsidR="002F479B">
        <w:t xml:space="preserve">  This will warrant some redesign of the sequence of weekly topics.</w:t>
      </w:r>
    </w:p>
    <w:p w14:paraId="031E684E" w14:textId="1606BE78" w:rsidR="00706BAE" w:rsidRDefault="00706BAE" w:rsidP="00706BAE">
      <w:pPr>
        <w:pStyle w:val="ListParagraph"/>
        <w:numPr>
          <w:ilvl w:val="1"/>
          <w:numId w:val="12"/>
        </w:numPr>
      </w:pPr>
      <w:r>
        <w:rPr>
          <w:b/>
          <w:bCs/>
        </w:rPr>
        <w:t xml:space="preserve">Contingency: </w:t>
      </w:r>
      <w:r>
        <w:t>In response to contingency “e”</w:t>
      </w:r>
      <w:r w:rsidR="005F5174" w:rsidRPr="005F5174">
        <w:t xml:space="preserve"> </w:t>
      </w:r>
      <w:r w:rsidR="005F5174">
        <w:t>from the 9/26 feedback</w:t>
      </w:r>
      <w:r>
        <w:t xml:space="preserve">, regarding additional scholarly readings, the Subcommittee found the addition of articles to the course schedule under the </w:t>
      </w:r>
      <w:r w:rsidR="005F5174">
        <w:t xml:space="preserve">heading </w:t>
      </w:r>
      <w:r>
        <w:t>of “See also”</w:t>
      </w:r>
      <w:r w:rsidR="005F5174">
        <w:t xml:space="preserve"> to be</w:t>
      </w:r>
      <w:r>
        <w:t xml:space="preserve"> insufficient, as it makes the readings seem as though they are optional for students.  </w:t>
      </w:r>
      <w:proofErr w:type="gramStart"/>
      <w:r>
        <w:t>In order to</w:t>
      </w:r>
      <w:proofErr w:type="gramEnd"/>
      <w:r>
        <w:t xml:space="preserve"> meet the contingency, these reading</w:t>
      </w:r>
      <w:r w:rsidR="005F5174">
        <w:t>s</w:t>
      </w:r>
      <w:r>
        <w:t xml:space="preserve"> must be required of students, and the instructor must be able to accurately assess students’ engagement with the articles/chapters.  </w:t>
      </w:r>
      <w:r w:rsidR="007E7573">
        <w:t xml:space="preserve">The Subcommittee understands that this may necessitate some reorganization and even (perhaps) the elimination of some topics in pursuit of a deeper, critical understanding of the </w:t>
      </w:r>
      <w:r w:rsidR="00F40027">
        <w:t xml:space="preserve">more challenging </w:t>
      </w:r>
      <w:r w:rsidR="007E7573">
        <w:t>readings.</w:t>
      </w:r>
    </w:p>
    <w:p w14:paraId="0C276742" w14:textId="0E805A05" w:rsidR="007E7573" w:rsidRDefault="007E7573" w:rsidP="00706BAE">
      <w:pPr>
        <w:pStyle w:val="ListParagraph"/>
        <w:numPr>
          <w:ilvl w:val="1"/>
          <w:numId w:val="12"/>
        </w:numPr>
      </w:pPr>
      <w:r>
        <w:rPr>
          <w:b/>
          <w:bCs/>
        </w:rPr>
        <w:t>Contingency:</w:t>
      </w:r>
      <w:r>
        <w:t xml:space="preserve"> In response to contingency “f”</w:t>
      </w:r>
      <w:r w:rsidR="00F40027" w:rsidRPr="00F40027">
        <w:t xml:space="preserve"> </w:t>
      </w:r>
      <w:r w:rsidR="00F40027">
        <w:t>from the 9/26 feedback</w:t>
      </w:r>
      <w:r>
        <w:t xml:space="preserve">, regarding the Franklin Virtue Paper and the Self-Help Book Project, the Subcommittee is unclear how students will be asked to make use of the scholarly readings as sources for their own writing, or how they will come to understand how the readings should be used when crafting their own arguments if the readings are not required (see </w:t>
      </w:r>
      <w:r w:rsidR="00AE1BA7">
        <w:t>the previous feedback item</w:t>
      </w:r>
      <w:r>
        <w:t xml:space="preserve"> above</w:t>
      </w:r>
      <w:r w:rsidR="00AE1BA7">
        <w:t>)</w:t>
      </w:r>
      <w:r>
        <w:t>.</w:t>
      </w:r>
    </w:p>
    <w:p w14:paraId="0C9B2763" w14:textId="242A098B" w:rsidR="002B72D8" w:rsidRDefault="002B72D8" w:rsidP="00706BAE">
      <w:pPr>
        <w:pStyle w:val="ListParagraph"/>
        <w:numPr>
          <w:ilvl w:val="1"/>
          <w:numId w:val="12"/>
        </w:numPr>
      </w:pPr>
      <w:r>
        <w:rPr>
          <w:b/>
          <w:bCs/>
        </w:rPr>
        <w:t>Contingency:</w:t>
      </w:r>
      <w:r>
        <w:t xml:space="preserve"> The Subcommittee notes that, on p. 1 of the syllabus, the GEN ELOS are listed, but the Goals are not.  Both must be listed, </w:t>
      </w:r>
      <w:proofErr w:type="gramStart"/>
      <w:r>
        <w:t>per</w:t>
      </w:r>
      <w:proofErr w:type="gramEnd"/>
      <w:r>
        <w:t xml:space="preserve"> a requirement of all GEN courses, and they should be numbered (i.e., Goals 1, 2, &amp; 3 and ELOs 1.1, 1.2, etc.) so that the connections between the goals and ELOs are apparent.</w:t>
      </w:r>
    </w:p>
    <w:p w14:paraId="189F3D3E" w14:textId="00A4D4DA" w:rsidR="002B72D8" w:rsidRDefault="002B72D8" w:rsidP="00706BAE">
      <w:pPr>
        <w:pStyle w:val="ListParagraph"/>
        <w:numPr>
          <w:ilvl w:val="1"/>
          <w:numId w:val="12"/>
        </w:numPr>
      </w:pPr>
      <w:r>
        <w:rPr>
          <w:b/>
          <w:bCs/>
        </w:rPr>
        <w:t>Continency:</w:t>
      </w:r>
      <w:r>
        <w:t xml:space="preserve"> The Subcommittee asks that the required Intellectual Diversity Statement be added to the syllabus, and that the Religious Accommodations statement (syllabus, p. 6) be updated to include the new name of the Office of Institutional Equity (now the Civil Rights Compliance Office) and the appropriate links.  Both statements are available on t</w:t>
      </w:r>
      <w:r w:rsidR="00AE1BA7">
        <w:t xml:space="preserve">he </w:t>
      </w:r>
      <w:hyperlink r:id="rId10" w:history="1">
        <w:r w:rsidR="00AE1BA7" w:rsidRPr="00AE1BA7">
          <w:rPr>
            <w:rStyle w:val="Hyperlink"/>
          </w:rPr>
          <w:t>Office of Undergraduate Education’s website.</w:t>
        </w:r>
      </w:hyperlink>
    </w:p>
    <w:p w14:paraId="36AB9779" w14:textId="3A5763C5" w:rsidR="00080C0D" w:rsidRDefault="00AE1BA7" w:rsidP="00AE1BA7">
      <w:pPr>
        <w:pStyle w:val="ListParagraph"/>
        <w:numPr>
          <w:ilvl w:val="1"/>
          <w:numId w:val="12"/>
        </w:numPr>
      </w:pPr>
      <w:r>
        <w:rPr>
          <w:i/>
          <w:iCs/>
        </w:rPr>
        <w:t xml:space="preserve">Recommendation: </w:t>
      </w:r>
      <w:r>
        <w:t xml:space="preserve">The Subcommittee recommends that the Center adjust the grading scale on p. 4 of the syllabus, as most grades are “overlapping” (i.e., a 93% could be </w:t>
      </w:r>
      <w:r>
        <w:rPr>
          <w:i/>
          <w:iCs/>
        </w:rPr>
        <w:t>either</w:t>
      </w:r>
      <w:r>
        <w:t xml:space="preserve"> an A- or a B+), and the percentages for the grades of D and E are unclear.</w:t>
      </w:r>
    </w:p>
    <w:p w14:paraId="5BCF1510" w14:textId="77777777" w:rsidR="003F5A89" w:rsidRDefault="003F5A89" w:rsidP="003F5A89">
      <w:pPr>
        <w:pStyle w:val="ListParagraph"/>
        <w:numPr>
          <w:ilvl w:val="1"/>
          <w:numId w:val="12"/>
        </w:numPr>
      </w:pPr>
      <w:r>
        <w:t xml:space="preserve">The chair of the committee, Dr. Tuxbury-Gleissner, recommends working with the </w:t>
      </w:r>
      <w:r w:rsidRPr="008B217C">
        <w:t>Michael V. Drake Institute for Teaching and Learning</w:t>
      </w:r>
      <w:r>
        <w:t>. It offers support to faculty for the development of thematically cohesive syllabi and student-centered course design. He would encourage the Center to advertise this resource to their faculty.</w:t>
      </w:r>
    </w:p>
    <w:p w14:paraId="793AB217" w14:textId="79E26CB7" w:rsidR="003F5A89" w:rsidRPr="007E7573" w:rsidRDefault="003F5A89" w:rsidP="003F5A89">
      <w:pPr>
        <w:pStyle w:val="ListParagraph"/>
        <w:numPr>
          <w:ilvl w:val="1"/>
          <w:numId w:val="12"/>
        </w:numPr>
      </w:pPr>
      <w:r>
        <w:t>As the course is already being advertised to students for SP26, the chair of the committee, Dr. Tuxbury-Gleissner, would like to ask the Chase Center to ensure that the syllabus not reference the GE Theme, until the revisions have been approved and the course has concluded its process through OAA and the Registrar’s office.</w:t>
      </w:r>
    </w:p>
    <w:p w14:paraId="433C8A85" w14:textId="6D0A297C" w:rsidR="003470DE" w:rsidRPr="00AE1BA7" w:rsidRDefault="00013B91" w:rsidP="003470DE">
      <w:pPr>
        <w:pStyle w:val="ListParagraph"/>
        <w:numPr>
          <w:ilvl w:val="1"/>
          <w:numId w:val="12"/>
        </w:numPr>
      </w:pPr>
      <w:r w:rsidRPr="00AE1BA7">
        <w:t xml:space="preserve">Patson, Rehbeck; unanimously </w:t>
      </w:r>
      <w:r w:rsidR="002B72D8" w:rsidRPr="00AE1BA7">
        <w:t>affirmed that the contingencies have not been met</w:t>
      </w:r>
      <w:r w:rsidR="00AE1BA7" w:rsidRPr="00AE1BA7">
        <w:t>.</w:t>
      </w:r>
    </w:p>
    <w:p w14:paraId="168EB4A5" w14:textId="77777777" w:rsidR="00AE1BA7" w:rsidRPr="003470DE" w:rsidRDefault="00AE1BA7" w:rsidP="00AE1BA7">
      <w:pPr>
        <w:pStyle w:val="ListParagraph"/>
        <w:rPr>
          <w:b/>
          <w:bCs/>
        </w:rPr>
      </w:pPr>
    </w:p>
    <w:p w14:paraId="582FE837" w14:textId="77777777" w:rsidR="006232AA" w:rsidRDefault="006232AA" w:rsidP="006232AA">
      <w:pPr>
        <w:pStyle w:val="ListParagraph"/>
        <w:numPr>
          <w:ilvl w:val="0"/>
          <w:numId w:val="12"/>
        </w:numPr>
      </w:pPr>
      <w:r w:rsidRPr="006232AA">
        <w:t>Spanish and Ethnic Studies 3242S (new cross-listed courses requesting GEN Theme Migration, Mobility and Immobility </w:t>
      </w:r>
      <w:r w:rsidRPr="006232AA">
        <w:rPr>
          <w:b/>
          <w:bCs/>
        </w:rPr>
        <w:t>with Service-Learning High-Impact Practice</w:t>
      </w:r>
      <w:r w:rsidRPr="006232AA">
        <w:t>)</w:t>
      </w:r>
    </w:p>
    <w:p w14:paraId="6777FD40" w14:textId="6ADCD8DB" w:rsidR="00704CBB" w:rsidRPr="00F26ABD" w:rsidRDefault="00F26ABD" w:rsidP="00A63915">
      <w:pPr>
        <w:pStyle w:val="ListParagraph"/>
        <w:numPr>
          <w:ilvl w:val="1"/>
          <w:numId w:val="12"/>
        </w:numPr>
      </w:pPr>
      <w:r>
        <w:t xml:space="preserve">The Subcommittee thanks the department for their </w:t>
      </w:r>
      <w:r w:rsidR="00A63915">
        <w:t>excellent submission, and they look forward to having this course be a part of the GEN Theme: Migration, Mobility and Immobility category.</w:t>
      </w:r>
    </w:p>
    <w:p w14:paraId="4106D17D" w14:textId="0D3D71B8" w:rsidR="00093916" w:rsidRDefault="00C54294" w:rsidP="00AE6999">
      <w:pPr>
        <w:pStyle w:val="ListParagraph"/>
        <w:numPr>
          <w:ilvl w:val="1"/>
          <w:numId w:val="12"/>
        </w:numPr>
      </w:pPr>
      <w:r>
        <w:t>Nagar, Rehbeck; unanimously approved</w:t>
      </w:r>
      <w:r w:rsidR="00F26ABD">
        <w:t>.</w:t>
      </w:r>
    </w:p>
    <w:p w14:paraId="685B7F03" w14:textId="77777777" w:rsidR="003F5A89" w:rsidRPr="006232AA" w:rsidRDefault="003F5A89" w:rsidP="003F5A89">
      <w:pPr>
        <w:pStyle w:val="ListParagraph"/>
      </w:pPr>
    </w:p>
    <w:p w14:paraId="622485D7" w14:textId="77777777" w:rsidR="00860107" w:rsidRDefault="006232AA" w:rsidP="00860107">
      <w:pPr>
        <w:pStyle w:val="ListParagraph"/>
        <w:numPr>
          <w:ilvl w:val="0"/>
          <w:numId w:val="12"/>
        </w:numPr>
      </w:pPr>
      <w:r w:rsidRPr="006232AA">
        <w:t>Civics, Law, and Leadership 3520 (new course requesting GEN Theme </w:t>
      </w:r>
      <w:bookmarkStart w:id="0" w:name="x__Hlk207808041"/>
      <w:bookmarkEnd w:id="0"/>
      <w:r w:rsidRPr="006232AA">
        <w:t>Traditions, Cultures, and Transformations) (return)</w:t>
      </w:r>
    </w:p>
    <w:p w14:paraId="5B4A2365" w14:textId="11EE148E" w:rsidR="00860107" w:rsidRDefault="00860107" w:rsidP="00860107">
      <w:pPr>
        <w:pStyle w:val="ListParagraph"/>
        <w:numPr>
          <w:ilvl w:val="1"/>
          <w:numId w:val="12"/>
        </w:numPr>
      </w:pPr>
      <w:r w:rsidRPr="00C72FC7">
        <w:t xml:space="preserve">The Subcommittee </w:t>
      </w:r>
      <w:r>
        <w:t xml:space="preserve">thanks </w:t>
      </w:r>
      <w:r w:rsidRPr="00C72FC7">
        <w:t>the Center for the</w:t>
      </w:r>
      <w:r>
        <w:t>ir work on revising this</w:t>
      </w:r>
      <w:r w:rsidRPr="00C72FC7">
        <w:t xml:space="preserve"> course, and they note that it will likely be an excellent course for students in the unit’s future majors, minors, or certificates.  However, they do not see how this course, </w:t>
      </w:r>
      <w:r>
        <w:t>which contains high-level readings that will require knowledge of econometrics</w:t>
      </w:r>
      <w:r w:rsidRPr="00C72FC7">
        <w:t xml:space="preserve">, could be reimagined to </w:t>
      </w:r>
      <w:r>
        <w:t>be applicable to a wide audience.  Additionally, the Subcommittee does not see how the</w:t>
      </w:r>
      <w:r w:rsidR="00737A65">
        <w:t xml:space="preserve"> Traditions, Cultures, and Transformations theme is the focus of the course, and it is unclear how the course’s </w:t>
      </w:r>
      <w:r w:rsidR="00AE1BA7">
        <w:t>activities</w:t>
      </w:r>
      <w:r w:rsidR="00737A65">
        <w:t xml:space="preserve"> will connect with the theme’s ELOs in an assessable manner.  The Subcommittee is open to a class on this topic with a narrower scope</w:t>
      </w:r>
      <w:r w:rsidR="003F5A89">
        <w:t>, e.g. the history of Capitalism,</w:t>
      </w:r>
      <w:r w:rsidR="00704CBB">
        <w:t xml:space="preserve"> which would</w:t>
      </w:r>
      <w:r w:rsidR="00737A65">
        <w:t xml:space="preserve"> allow for more </w:t>
      </w:r>
      <w:r w:rsidR="00AE1BA7">
        <w:t xml:space="preserve">depth, </w:t>
      </w:r>
      <w:r w:rsidR="00737A65">
        <w:t>interdisciplinarity</w:t>
      </w:r>
      <w:r w:rsidR="00AE1BA7">
        <w:t>,</w:t>
      </w:r>
      <w:r w:rsidR="00737A65">
        <w:t xml:space="preserve"> and critical thinking</w:t>
      </w:r>
      <w:r w:rsidR="00704CBB">
        <w:t xml:space="preserve">. </w:t>
      </w:r>
      <w:r w:rsidR="00737A65">
        <w:t xml:space="preserve"> </w:t>
      </w:r>
      <w:r w:rsidR="00704CBB">
        <w:t>H</w:t>
      </w:r>
      <w:r w:rsidR="00737A65">
        <w:t xml:space="preserve">owever, that </w:t>
      </w:r>
      <w:r w:rsidRPr="00C72FC7">
        <w:t>w</w:t>
      </w:r>
      <w:r w:rsidR="00737A65">
        <w:t>ould necessitate that</w:t>
      </w:r>
      <w:r w:rsidRPr="00C72FC7">
        <w:t xml:space="preserve"> the content of the </w:t>
      </w:r>
      <w:r w:rsidR="005F5174" w:rsidRPr="00C72FC7">
        <w:t xml:space="preserve">course </w:t>
      </w:r>
      <w:r w:rsidR="005F5174">
        <w:t>be</w:t>
      </w:r>
      <w:r w:rsidR="00737A65">
        <w:t xml:space="preserve"> altered </w:t>
      </w:r>
      <w:r w:rsidRPr="00C72FC7">
        <w:t xml:space="preserve">so substantially that it would essentially be a different </w:t>
      </w:r>
      <w:r w:rsidR="005F5174" w:rsidRPr="00C72FC7">
        <w:t>course and</w:t>
      </w:r>
      <w:r w:rsidRPr="00C72FC7">
        <w:t xml:space="preserve"> </w:t>
      </w:r>
      <w:r w:rsidR="00737A65">
        <w:t>potentially</w:t>
      </w:r>
      <w:r w:rsidRPr="00C72FC7">
        <w:t xml:space="preserve"> be of less service to the Center’s academic </w:t>
      </w:r>
      <w:proofErr w:type="gramStart"/>
      <w:r w:rsidRPr="00C72FC7">
        <w:t>program as a whole</w:t>
      </w:r>
      <w:proofErr w:type="gramEnd"/>
      <w:r w:rsidRPr="00C72FC7">
        <w:t>.</w:t>
      </w:r>
    </w:p>
    <w:p w14:paraId="6DA8E1F6" w14:textId="7AB4C200" w:rsidR="00704CBB" w:rsidRDefault="00704CBB" w:rsidP="00704CBB">
      <w:pPr>
        <w:pStyle w:val="ListParagraph"/>
        <w:numPr>
          <w:ilvl w:val="1"/>
          <w:numId w:val="12"/>
        </w:numPr>
      </w:pPr>
      <w:r>
        <w:t xml:space="preserve">The chair of the committee, Dr. Tuxbury-Gleissner, recommends working with the </w:t>
      </w:r>
      <w:r w:rsidRPr="008B217C">
        <w:t>Michael V. Drake Institute for Teaching and Learning</w:t>
      </w:r>
      <w:r>
        <w:t>. It offers support to faculty for the development of thematically cohesive syllabi and student-centered course design. He would encourage the Center to advertise this resource to their faculty.</w:t>
      </w:r>
    </w:p>
    <w:p w14:paraId="7C6B2446" w14:textId="57620019" w:rsidR="00860107" w:rsidRPr="00860107" w:rsidRDefault="00737A65" w:rsidP="00860107">
      <w:pPr>
        <w:pStyle w:val="ListParagraph"/>
        <w:numPr>
          <w:ilvl w:val="1"/>
          <w:numId w:val="12"/>
        </w:numPr>
      </w:pPr>
      <w:r>
        <w:t>Rehbeck, Patson</w:t>
      </w:r>
      <w:r w:rsidR="00860107" w:rsidRPr="00C72FC7">
        <w:t>; the subcommittee unanimously voted no on the course.</w:t>
      </w:r>
    </w:p>
    <w:p w14:paraId="780E2E88" w14:textId="65AAB624" w:rsidR="002B251F" w:rsidRPr="006232AA" w:rsidRDefault="002B251F" w:rsidP="00737A65">
      <w:pPr>
        <w:ind w:left="360"/>
      </w:pPr>
    </w:p>
    <w:sectPr w:rsidR="002B251F" w:rsidRPr="006232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9083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EB854F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9F86F8A"/>
    <w:multiLevelType w:val="hybridMultilevel"/>
    <w:tmpl w:val="71DC8912"/>
    <w:lvl w:ilvl="0" w:tplc="9DB6FDCE">
      <w:start w:val="1"/>
      <w:numFmt w:val="decimal"/>
      <w:lvlText w:val="%1."/>
      <w:lvlJc w:val="left"/>
      <w:pPr>
        <w:ind w:left="804" w:hanging="444"/>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C33D06"/>
    <w:multiLevelType w:val="multilevel"/>
    <w:tmpl w:val="833AA8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5E56A8"/>
    <w:multiLevelType w:val="multilevel"/>
    <w:tmpl w:val="89B0C6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865179"/>
    <w:multiLevelType w:val="multilevel"/>
    <w:tmpl w:val="9ECC84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94731D"/>
    <w:multiLevelType w:val="hybridMultilevel"/>
    <w:tmpl w:val="CE90F7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00283A"/>
    <w:multiLevelType w:val="multilevel"/>
    <w:tmpl w:val="E092D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66584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3EE31B3"/>
    <w:multiLevelType w:val="multilevel"/>
    <w:tmpl w:val="AD2C20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1D590C"/>
    <w:multiLevelType w:val="multilevel"/>
    <w:tmpl w:val="ED405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ACB6F9C"/>
    <w:multiLevelType w:val="multilevel"/>
    <w:tmpl w:val="E968F1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B1F6E7B"/>
    <w:multiLevelType w:val="multilevel"/>
    <w:tmpl w:val="6CE87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0F8271A"/>
    <w:multiLevelType w:val="hybridMultilevel"/>
    <w:tmpl w:val="78EA20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8559535">
    <w:abstractNumId w:val="5"/>
  </w:num>
  <w:num w:numId="2" w16cid:durableId="736123488">
    <w:abstractNumId w:val="13"/>
  </w:num>
  <w:num w:numId="3" w16cid:durableId="1345672144">
    <w:abstractNumId w:val="12"/>
  </w:num>
  <w:num w:numId="4" w16cid:durableId="572280174">
    <w:abstractNumId w:val="4"/>
  </w:num>
  <w:num w:numId="5" w16cid:durableId="1303584750">
    <w:abstractNumId w:val="3"/>
  </w:num>
  <w:num w:numId="6" w16cid:durableId="392893140">
    <w:abstractNumId w:val="10"/>
  </w:num>
  <w:num w:numId="7" w16cid:durableId="756512224">
    <w:abstractNumId w:val="9"/>
  </w:num>
  <w:num w:numId="8" w16cid:durableId="165098048">
    <w:abstractNumId w:val="1"/>
  </w:num>
  <w:num w:numId="9" w16cid:durableId="1763145531">
    <w:abstractNumId w:val="11"/>
  </w:num>
  <w:num w:numId="10" w16cid:durableId="1337223503">
    <w:abstractNumId w:val="8"/>
  </w:num>
  <w:num w:numId="11" w16cid:durableId="1153185182">
    <w:abstractNumId w:val="6"/>
  </w:num>
  <w:num w:numId="12" w16cid:durableId="571081861">
    <w:abstractNumId w:val="0"/>
  </w:num>
  <w:num w:numId="13" w16cid:durableId="388304025">
    <w:abstractNumId w:val="7"/>
  </w:num>
  <w:num w:numId="14" w16cid:durableId="14262696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614"/>
    <w:rsid w:val="0000435C"/>
    <w:rsid w:val="00010C0C"/>
    <w:rsid w:val="00012616"/>
    <w:rsid w:val="00013B91"/>
    <w:rsid w:val="000267E6"/>
    <w:rsid w:val="00067480"/>
    <w:rsid w:val="00080B3A"/>
    <w:rsid w:val="00080C0D"/>
    <w:rsid w:val="00081C4A"/>
    <w:rsid w:val="00093916"/>
    <w:rsid w:val="000A5675"/>
    <w:rsid w:val="000B5A0A"/>
    <w:rsid w:val="000E7D7D"/>
    <w:rsid w:val="000F7407"/>
    <w:rsid w:val="00114790"/>
    <w:rsid w:val="00121CA6"/>
    <w:rsid w:val="00130F6A"/>
    <w:rsid w:val="00133F36"/>
    <w:rsid w:val="00142925"/>
    <w:rsid w:val="00142C03"/>
    <w:rsid w:val="00143F78"/>
    <w:rsid w:val="0015017A"/>
    <w:rsid w:val="001518BA"/>
    <w:rsid w:val="00155C92"/>
    <w:rsid w:val="00171643"/>
    <w:rsid w:val="00171CCB"/>
    <w:rsid w:val="001822DA"/>
    <w:rsid w:val="001866CC"/>
    <w:rsid w:val="001940B5"/>
    <w:rsid w:val="001A0B61"/>
    <w:rsid w:val="001A3FB5"/>
    <w:rsid w:val="001A7D1E"/>
    <w:rsid w:val="001B0A82"/>
    <w:rsid w:val="001C1E18"/>
    <w:rsid w:val="001C3321"/>
    <w:rsid w:val="001D61D4"/>
    <w:rsid w:val="001F3DB7"/>
    <w:rsid w:val="00203E26"/>
    <w:rsid w:val="00207D02"/>
    <w:rsid w:val="00215A22"/>
    <w:rsid w:val="00234442"/>
    <w:rsid w:val="00246FDC"/>
    <w:rsid w:val="00276D95"/>
    <w:rsid w:val="00294EEF"/>
    <w:rsid w:val="002A69CC"/>
    <w:rsid w:val="002B08F2"/>
    <w:rsid w:val="002B251F"/>
    <w:rsid w:val="002B72D8"/>
    <w:rsid w:val="002E4C26"/>
    <w:rsid w:val="002F479B"/>
    <w:rsid w:val="002F4A06"/>
    <w:rsid w:val="00307632"/>
    <w:rsid w:val="00333278"/>
    <w:rsid w:val="003470DE"/>
    <w:rsid w:val="00363B53"/>
    <w:rsid w:val="003735E9"/>
    <w:rsid w:val="003903A3"/>
    <w:rsid w:val="003A6155"/>
    <w:rsid w:val="003C2BAA"/>
    <w:rsid w:val="003C73A0"/>
    <w:rsid w:val="003F5A89"/>
    <w:rsid w:val="00406614"/>
    <w:rsid w:val="0041567E"/>
    <w:rsid w:val="004256B4"/>
    <w:rsid w:val="00460838"/>
    <w:rsid w:val="00466B0A"/>
    <w:rsid w:val="00482362"/>
    <w:rsid w:val="00492AFA"/>
    <w:rsid w:val="00497929"/>
    <w:rsid w:val="004A2163"/>
    <w:rsid w:val="004B0B03"/>
    <w:rsid w:val="004B39A4"/>
    <w:rsid w:val="004D0165"/>
    <w:rsid w:val="004D081D"/>
    <w:rsid w:val="004D2EC7"/>
    <w:rsid w:val="004D55A5"/>
    <w:rsid w:val="004E2771"/>
    <w:rsid w:val="004F6D6F"/>
    <w:rsid w:val="00507691"/>
    <w:rsid w:val="00517A18"/>
    <w:rsid w:val="0052455A"/>
    <w:rsid w:val="005269CB"/>
    <w:rsid w:val="00527443"/>
    <w:rsid w:val="00540FAE"/>
    <w:rsid w:val="005527F5"/>
    <w:rsid w:val="005A7184"/>
    <w:rsid w:val="005C3E06"/>
    <w:rsid w:val="005D44FE"/>
    <w:rsid w:val="005F2E16"/>
    <w:rsid w:val="005F5174"/>
    <w:rsid w:val="00611BF2"/>
    <w:rsid w:val="006232AA"/>
    <w:rsid w:val="006310EC"/>
    <w:rsid w:val="00631AC4"/>
    <w:rsid w:val="0065438B"/>
    <w:rsid w:val="00656C6B"/>
    <w:rsid w:val="00657B00"/>
    <w:rsid w:val="00664555"/>
    <w:rsid w:val="00673FC0"/>
    <w:rsid w:val="00685DF7"/>
    <w:rsid w:val="00690137"/>
    <w:rsid w:val="006B3F88"/>
    <w:rsid w:val="006B5F99"/>
    <w:rsid w:val="006C24DB"/>
    <w:rsid w:val="006C33CD"/>
    <w:rsid w:val="006C5888"/>
    <w:rsid w:val="006D73AA"/>
    <w:rsid w:val="006E0792"/>
    <w:rsid w:val="006E11D3"/>
    <w:rsid w:val="006E4CBB"/>
    <w:rsid w:val="006E5205"/>
    <w:rsid w:val="00704CBB"/>
    <w:rsid w:val="00706BAE"/>
    <w:rsid w:val="0071141D"/>
    <w:rsid w:val="007156C6"/>
    <w:rsid w:val="0072274E"/>
    <w:rsid w:val="007279F4"/>
    <w:rsid w:val="00732A75"/>
    <w:rsid w:val="00736EF1"/>
    <w:rsid w:val="00737A65"/>
    <w:rsid w:val="00771493"/>
    <w:rsid w:val="00787D23"/>
    <w:rsid w:val="00791E1E"/>
    <w:rsid w:val="007A7A74"/>
    <w:rsid w:val="007B428B"/>
    <w:rsid w:val="007B7573"/>
    <w:rsid w:val="007B7EB0"/>
    <w:rsid w:val="007E7573"/>
    <w:rsid w:val="0082274C"/>
    <w:rsid w:val="00832E40"/>
    <w:rsid w:val="00860107"/>
    <w:rsid w:val="0086678B"/>
    <w:rsid w:val="00874D6F"/>
    <w:rsid w:val="008B4D1F"/>
    <w:rsid w:val="008B50A0"/>
    <w:rsid w:val="008C4825"/>
    <w:rsid w:val="008E73E7"/>
    <w:rsid w:val="00905A31"/>
    <w:rsid w:val="00915C1C"/>
    <w:rsid w:val="0093289A"/>
    <w:rsid w:val="00935A98"/>
    <w:rsid w:val="00935BC6"/>
    <w:rsid w:val="00962AD3"/>
    <w:rsid w:val="00980870"/>
    <w:rsid w:val="009A030D"/>
    <w:rsid w:val="009A157F"/>
    <w:rsid w:val="009B604F"/>
    <w:rsid w:val="009D51BD"/>
    <w:rsid w:val="009E25EF"/>
    <w:rsid w:val="00A031A6"/>
    <w:rsid w:val="00A14CB0"/>
    <w:rsid w:val="00A172E6"/>
    <w:rsid w:val="00A2444D"/>
    <w:rsid w:val="00A27733"/>
    <w:rsid w:val="00A3435A"/>
    <w:rsid w:val="00A4029B"/>
    <w:rsid w:val="00A6057D"/>
    <w:rsid w:val="00A63915"/>
    <w:rsid w:val="00A721C9"/>
    <w:rsid w:val="00A822DE"/>
    <w:rsid w:val="00A92AF9"/>
    <w:rsid w:val="00A93D8C"/>
    <w:rsid w:val="00AA4531"/>
    <w:rsid w:val="00AB3086"/>
    <w:rsid w:val="00AE1BA7"/>
    <w:rsid w:val="00AE1D8B"/>
    <w:rsid w:val="00AE34C3"/>
    <w:rsid w:val="00AE6999"/>
    <w:rsid w:val="00AF2447"/>
    <w:rsid w:val="00AF4CD3"/>
    <w:rsid w:val="00B00319"/>
    <w:rsid w:val="00B10C03"/>
    <w:rsid w:val="00B145EE"/>
    <w:rsid w:val="00B224A1"/>
    <w:rsid w:val="00B22F88"/>
    <w:rsid w:val="00B42328"/>
    <w:rsid w:val="00B4285A"/>
    <w:rsid w:val="00B5715F"/>
    <w:rsid w:val="00B63765"/>
    <w:rsid w:val="00B71452"/>
    <w:rsid w:val="00B74D47"/>
    <w:rsid w:val="00B8611B"/>
    <w:rsid w:val="00B865BE"/>
    <w:rsid w:val="00B91AFA"/>
    <w:rsid w:val="00B92C3D"/>
    <w:rsid w:val="00B94827"/>
    <w:rsid w:val="00B965A0"/>
    <w:rsid w:val="00BA0950"/>
    <w:rsid w:val="00BB44E0"/>
    <w:rsid w:val="00BB5B34"/>
    <w:rsid w:val="00BF1484"/>
    <w:rsid w:val="00C23D9E"/>
    <w:rsid w:val="00C2663A"/>
    <w:rsid w:val="00C31EDF"/>
    <w:rsid w:val="00C47DAD"/>
    <w:rsid w:val="00C52D8C"/>
    <w:rsid w:val="00C54294"/>
    <w:rsid w:val="00C66601"/>
    <w:rsid w:val="00C7585F"/>
    <w:rsid w:val="00CA2C08"/>
    <w:rsid w:val="00CB3482"/>
    <w:rsid w:val="00CE5923"/>
    <w:rsid w:val="00D0784D"/>
    <w:rsid w:val="00D63B97"/>
    <w:rsid w:val="00D71A66"/>
    <w:rsid w:val="00D83392"/>
    <w:rsid w:val="00D85C6B"/>
    <w:rsid w:val="00DA12D0"/>
    <w:rsid w:val="00DA5708"/>
    <w:rsid w:val="00DA7D31"/>
    <w:rsid w:val="00DB286B"/>
    <w:rsid w:val="00DE6593"/>
    <w:rsid w:val="00DF4918"/>
    <w:rsid w:val="00E022E4"/>
    <w:rsid w:val="00E527EB"/>
    <w:rsid w:val="00E71FDD"/>
    <w:rsid w:val="00E848DF"/>
    <w:rsid w:val="00E9795A"/>
    <w:rsid w:val="00EA1647"/>
    <w:rsid w:val="00EA1E5F"/>
    <w:rsid w:val="00EA34D4"/>
    <w:rsid w:val="00EB3AC1"/>
    <w:rsid w:val="00EC2618"/>
    <w:rsid w:val="00EC269D"/>
    <w:rsid w:val="00EC291A"/>
    <w:rsid w:val="00EC4516"/>
    <w:rsid w:val="00ED10FE"/>
    <w:rsid w:val="00ED3022"/>
    <w:rsid w:val="00F01CC9"/>
    <w:rsid w:val="00F12AC1"/>
    <w:rsid w:val="00F13D6B"/>
    <w:rsid w:val="00F14498"/>
    <w:rsid w:val="00F26ABD"/>
    <w:rsid w:val="00F40027"/>
    <w:rsid w:val="00F7534F"/>
    <w:rsid w:val="00F93B21"/>
    <w:rsid w:val="00FB1C15"/>
    <w:rsid w:val="00FB5168"/>
    <w:rsid w:val="00FD0741"/>
    <w:rsid w:val="00FD1324"/>
    <w:rsid w:val="00FE10A8"/>
    <w:rsid w:val="00FF0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71170"/>
  <w15:chartTrackingRefBased/>
  <w15:docId w15:val="{6C896D9C-605D-4F58-B20E-8B474C2F2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66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66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66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66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66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66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66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66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66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6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66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66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66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66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66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66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66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6614"/>
    <w:rPr>
      <w:rFonts w:eastAsiaTheme="majorEastAsia" w:cstheme="majorBidi"/>
      <w:color w:val="272727" w:themeColor="text1" w:themeTint="D8"/>
    </w:rPr>
  </w:style>
  <w:style w:type="paragraph" w:styleId="Title">
    <w:name w:val="Title"/>
    <w:basedOn w:val="Normal"/>
    <w:next w:val="Normal"/>
    <w:link w:val="TitleChar"/>
    <w:uiPriority w:val="10"/>
    <w:qFormat/>
    <w:rsid w:val="004066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66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66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66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6614"/>
    <w:pPr>
      <w:spacing w:before="160"/>
      <w:jc w:val="center"/>
    </w:pPr>
    <w:rPr>
      <w:i/>
      <w:iCs/>
      <w:color w:val="404040" w:themeColor="text1" w:themeTint="BF"/>
    </w:rPr>
  </w:style>
  <w:style w:type="character" w:customStyle="1" w:styleId="QuoteChar">
    <w:name w:val="Quote Char"/>
    <w:basedOn w:val="DefaultParagraphFont"/>
    <w:link w:val="Quote"/>
    <w:uiPriority w:val="29"/>
    <w:rsid w:val="00406614"/>
    <w:rPr>
      <w:i/>
      <w:iCs/>
      <w:color w:val="404040" w:themeColor="text1" w:themeTint="BF"/>
    </w:rPr>
  </w:style>
  <w:style w:type="paragraph" w:styleId="ListParagraph">
    <w:name w:val="List Paragraph"/>
    <w:basedOn w:val="Normal"/>
    <w:uiPriority w:val="34"/>
    <w:qFormat/>
    <w:rsid w:val="00406614"/>
    <w:pPr>
      <w:ind w:left="720"/>
      <w:contextualSpacing/>
    </w:pPr>
  </w:style>
  <w:style w:type="character" w:styleId="IntenseEmphasis">
    <w:name w:val="Intense Emphasis"/>
    <w:basedOn w:val="DefaultParagraphFont"/>
    <w:uiPriority w:val="21"/>
    <w:qFormat/>
    <w:rsid w:val="00406614"/>
    <w:rPr>
      <w:i/>
      <w:iCs/>
      <w:color w:val="0F4761" w:themeColor="accent1" w:themeShade="BF"/>
    </w:rPr>
  </w:style>
  <w:style w:type="paragraph" w:styleId="IntenseQuote">
    <w:name w:val="Intense Quote"/>
    <w:basedOn w:val="Normal"/>
    <w:next w:val="Normal"/>
    <w:link w:val="IntenseQuoteChar"/>
    <w:uiPriority w:val="30"/>
    <w:qFormat/>
    <w:rsid w:val="004066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6614"/>
    <w:rPr>
      <w:i/>
      <w:iCs/>
      <w:color w:val="0F4761" w:themeColor="accent1" w:themeShade="BF"/>
    </w:rPr>
  </w:style>
  <w:style w:type="character" w:styleId="IntenseReference">
    <w:name w:val="Intense Reference"/>
    <w:basedOn w:val="DefaultParagraphFont"/>
    <w:uiPriority w:val="32"/>
    <w:qFormat/>
    <w:rsid w:val="00406614"/>
    <w:rPr>
      <w:b/>
      <w:bCs/>
      <w:smallCaps/>
      <w:color w:val="0F4761" w:themeColor="accent1" w:themeShade="BF"/>
      <w:spacing w:val="5"/>
    </w:rPr>
  </w:style>
  <w:style w:type="character" w:styleId="Hyperlink">
    <w:name w:val="Hyperlink"/>
    <w:basedOn w:val="DefaultParagraphFont"/>
    <w:uiPriority w:val="99"/>
    <w:unhideWhenUsed/>
    <w:rsid w:val="00010C0C"/>
    <w:rPr>
      <w:color w:val="467886" w:themeColor="hyperlink"/>
      <w:u w:val="single"/>
    </w:rPr>
  </w:style>
  <w:style w:type="character" w:styleId="UnresolvedMention">
    <w:name w:val="Unresolved Mention"/>
    <w:basedOn w:val="DefaultParagraphFont"/>
    <w:uiPriority w:val="99"/>
    <w:semiHidden/>
    <w:unhideWhenUsed/>
    <w:rsid w:val="00010C0C"/>
    <w:rPr>
      <w:color w:val="605E5C"/>
      <w:shd w:val="clear" w:color="auto" w:fill="E1DFDD"/>
    </w:rPr>
  </w:style>
  <w:style w:type="character" w:styleId="FollowedHyperlink">
    <w:name w:val="FollowedHyperlink"/>
    <w:basedOn w:val="DefaultParagraphFont"/>
    <w:uiPriority w:val="99"/>
    <w:semiHidden/>
    <w:unhideWhenUsed/>
    <w:rsid w:val="00F7534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856423">
      <w:bodyDiv w:val="1"/>
      <w:marLeft w:val="0"/>
      <w:marRight w:val="0"/>
      <w:marTop w:val="0"/>
      <w:marBottom w:val="0"/>
      <w:divBdr>
        <w:top w:val="none" w:sz="0" w:space="0" w:color="auto"/>
        <w:left w:val="none" w:sz="0" w:space="0" w:color="auto"/>
        <w:bottom w:val="none" w:sz="0" w:space="0" w:color="auto"/>
        <w:right w:val="none" w:sz="0" w:space="0" w:color="auto"/>
      </w:divBdr>
    </w:div>
    <w:div w:id="541790909">
      <w:bodyDiv w:val="1"/>
      <w:marLeft w:val="0"/>
      <w:marRight w:val="0"/>
      <w:marTop w:val="0"/>
      <w:marBottom w:val="0"/>
      <w:divBdr>
        <w:top w:val="none" w:sz="0" w:space="0" w:color="auto"/>
        <w:left w:val="none" w:sz="0" w:space="0" w:color="auto"/>
        <w:bottom w:val="none" w:sz="0" w:space="0" w:color="auto"/>
        <w:right w:val="none" w:sz="0" w:space="0" w:color="auto"/>
      </w:divBdr>
    </w:div>
    <w:div w:id="602685111">
      <w:bodyDiv w:val="1"/>
      <w:marLeft w:val="0"/>
      <w:marRight w:val="0"/>
      <w:marTop w:val="0"/>
      <w:marBottom w:val="0"/>
      <w:divBdr>
        <w:top w:val="none" w:sz="0" w:space="0" w:color="auto"/>
        <w:left w:val="none" w:sz="0" w:space="0" w:color="auto"/>
        <w:bottom w:val="none" w:sz="0" w:space="0" w:color="auto"/>
        <w:right w:val="none" w:sz="0" w:space="0" w:color="auto"/>
      </w:divBdr>
      <w:divsChild>
        <w:div w:id="2050373643">
          <w:marLeft w:val="0"/>
          <w:marRight w:val="0"/>
          <w:marTop w:val="0"/>
          <w:marBottom w:val="0"/>
          <w:divBdr>
            <w:top w:val="none" w:sz="0" w:space="0" w:color="auto"/>
            <w:left w:val="none" w:sz="0" w:space="0" w:color="auto"/>
            <w:bottom w:val="none" w:sz="0" w:space="0" w:color="auto"/>
            <w:right w:val="none" w:sz="0" w:space="0" w:color="auto"/>
          </w:divBdr>
        </w:div>
        <w:div w:id="428434665">
          <w:marLeft w:val="0"/>
          <w:marRight w:val="0"/>
          <w:marTop w:val="0"/>
          <w:marBottom w:val="0"/>
          <w:divBdr>
            <w:top w:val="none" w:sz="0" w:space="0" w:color="auto"/>
            <w:left w:val="none" w:sz="0" w:space="0" w:color="auto"/>
            <w:bottom w:val="none" w:sz="0" w:space="0" w:color="auto"/>
            <w:right w:val="none" w:sz="0" w:space="0" w:color="auto"/>
          </w:divBdr>
        </w:div>
        <w:div w:id="1398479167">
          <w:marLeft w:val="0"/>
          <w:marRight w:val="0"/>
          <w:marTop w:val="0"/>
          <w:marBottom w:val="0"/>
          <w:divBdr>
            <w:top w:val="none" w:sz="0" w:space="0" w:color="auto"/>
            <w:left w:val="none" w:sz="0" w:space="0" w:color="auto"/>
            <w:bottom w:val="none" w:sz="0" w:space="0" w:color="auto"/>
            <w:right w:val="none" w:sz="0" w:space="0" w:color="auto"/>
          </w:divBdr>
        </w:div>
        <w:div w:id="107044528">
          <w:marLeft w:val="0"/>
          <w:marRight w:val="0"/>
          <w:marTop w:val="0"/>
          <w:marBottom w:val="0"/>
          <w:divBdr>
            <w:top w:val="none" w:sz="0" w:space="0" w:color="auto"/>
            <w:left w:val="none" w:sz="0" w:space="0" w:color="auto"/>
            <w:bottom w:val="none" w:sz="0" w:space="0" w:color="auto"/>
            <w:right w:val="none" w:sz="0" w:space="0" w:color="auto"/>
          </w:divBdr>
        </w:div>
        <w:div w:id="937719428">
          <w:marLeft w:val="0"/>
          <w:marRight w:val="0"/>
          <w:marTop w:val="0"/>
          <w:marBottom w:val="0"/>
          <w:divBdr>
            <w:top w:val="none" w:sz="0" w:space="0" w:color="auto"/>
            <w:left w:val="none" w:sz="0" w:space="0" w:color="auto"/>
            <w:bottom w:val="none" w:sz="0" w:space="0" w:color="auto"/>
            <w:right w:val="none" w:sz="0" w:space="0" w:color="auto"/>
          </w:divBdr>
        </w:div>
        <w:div w:id="1051420073">
          <w:marLeft w:val="0"/>
          <w:marRight w:val="0"/>
          <w:marTop w:val="0"/>
          <w:marBottom w:val="0"/>
          <w:divBdr>
            <w:top w:val="none" w:sz="0" w:space="0" w:color="auto"/>
            <w:left w:val="none" w:sz="0" w:space="0" w:color="auto"/>
            <w:bottom w:val="none" w:sz="0" w:space="0" w:color="auto"/>
            <w:right w:val="none" w:sz="0" w:space="0" w:color="auto"/>
          </w:divBdr>
        </w:div>
      </w:divsChild>
    </w:div>
    <w:div w:id="896668249">
      <w:bodyDiv w:val="1"/>
      <w:marLeft w:val="0"/>
      <w:marRight w:val="0"/>
      <w:marTop w:val="0"/>
      <w:marBottom w:val="0"/>
      <w:divBdr>
        <w:top w:val="none" w:sz="0" w:space="0" w:color="auto"/>
        <w:left w:val="none" w:sz="0" w:space="0" w:color="auto"/>
        <w:bottom w:val="none" w:sz="0" w:space="0" w:color="auto"/>
        <w:right w:val="none" w:sz="0" w:space="0" w:color="auto"/>
      </w:divBdr>
      <w:divsChild>
        <w:div w:id="998922569">
          <w:marLeft w:val="0"/>
          <w:marRight w:val="0"/>
          <w:marTop w:val="0"/>
          <w:marBottom w:val="0"/>
          <w:divBdr>
            <w:top w:val="none" w:sz="0" w:space="0" w:color="auto"/>
            <w:left w:val="none" w:sz="0" w:space="0" w:color="auto"/>
            <w:bottom w:val="none" w:sz="0" w:space="0" w:color="auto"/>
            <w:right w:val="none" w:sz="0" w:space="0" w:color="auto"/>
          </w:divBdr>
        </w:div>
        <w:div w:id="1727755725">
          <w:marLeft w:val="0"/>
          <w:marRight w:val="0"/>
          <w:marTop w:val="0"/>
          <w:marBottom w:val="0"/>
          <w:divBdr>
            <w:top w:val="none" w:sz="0" w:space="0" w:color="auto"/>
            <w:left w:val="none" w:sz="0" w:space="0" w:color="auto"/>
            <w:bottom w:val="none" w:sz="0" w:space="0" w:color="auto"/>
            <w:right w:val="none" w:sz="0" w:space="0" w:color="auto"/>
          </w:divBdr>
        </w:div>
        <w:div w:id="1893885986">
          <w:marLeft w:val="0"/>
          <w:marRight w:val="0"/>
          <w:marTop w:val="0"/>
          <w:marBottom w:val="0"/>
          <w:divBdr>
            <w:top w:val="none" w:sz="0" w:space="0" w:color="auto"/>
            <w:left w:val="none" w:sz="0" w:space="0" w:color="auto"/>
            <w:bottom w:val="none" w:sz="0" w:space="0" w:color="auto"/>
            <w:right w:val="none" w:sz="0" w:space="0" w:color="auto"/>
          </w:divBdr>
        </w:div>
        <w:div w:id="198511422">
          <w:marLeft w:val="0"/>
          <w:marRight w:val="0"/>
          <w:marTop w:val="0"/>
          <w:marBottom w:val="0"/>
          <w:divBdr>
            <w:top w:val="none" w:sz="0" w:space="0" w:color="auto"/>
            <w:left w:val="none" w:sz="0" w:space="0" w:color="auto"/>
            <w:bottom w:val="none" w:sz="0" w:space="0" w:color="auto"/>
            <w:right w:val="none" w:sz="0" w:space="0" w:color="auto"/>
          </w:divBdr>
        </w:div>
        <w:div w:id="1568300370">
          <w:marLeft w:val="0"/>
          <w:marRight w:val="0"/>
          <w:marTop w:val="0"/>
          <w:marBottom w:val="0"/>
          <w:divBdr>
            <w:top w:val="none" w:sz="0" w:space="0" w:color="auto"/>
            <w:left w:val="none" w:sz="0" w:space="0" w:color="auto"/>
            <w:bottom w:val="none" w:sz="0" w:space="0" w:color="auto"/>
            <w:right w:val="none" w:sz="0" w:space="0" w:color="auto"/>
          </w:divBdr>
        </w:div>
        <w:div w:id="958297748">
          <w:marLeft w:val="0"/>
          <w:marRight w:val="0"/>
          <w:marTop w:val="0"/>
          <w:marBottom w:val="0"/>
          <w:divBdr>
            <w:top w:val="none" w:sz="0" w:space="0" w:color="auto"/>
            <w:left w:val="none" w:sz="0" w:space="0" w:color="auto"/>
            <w:bottom w:val="none" w:sz="0" w:space="0" w:color="auto"/>
            <w:right w:val="none" w:sz="0" w:space="0" w:color="auto"/>
          </w:divBdr>
        </w:div>
      </w:divsChild>
    </w:div>
    <w:div w:id="1165171542">
      <w:bodyDiv w:val="1"/>
      <w:marLeft w:val="0"/>
      <w:marRight w:val="0"/>
      <w:marTop w:val="0"/>
      <w:marBottom w:val="0"/>
      <w:divBdr>
        <w:top w:val="none" w:sz="0" w:space="0" w:color="auto"/>
        <w:left w:val="none" w:sz="0" w:space="0" w:color="auto"/>
        <w:bottom w:val="none" w:sz="0" w:space="0" w:color="auto"/>
        <w:right w:val="none" w:sz="0" w:space="0" w:color="auto"/>
      </w:divBdr>
    </w:div>
    <w:div w:id="1181043139">
      <w:bodyDiv w:val="1"/>
      <w:marLeft w:val="0"/>
      <w:marRight w:val="0"/>
      <w:marTop w:val="0"/>
      <w:marBottom w:val="0"/>
      <w:divBdr>
        <w:top w:val="none" w:sz="0" w:space="0" w:color="auto"/>
        <w:left w:val="none" w:sz="0" w:space="0" w:color="auto"/>
        <w:bottom w:val="none" w:sz="0" w:space="0" w:color="auto"/>
        <w:right w:val="none" w:sz="0" w:space="0" w:color="auto"/>
      </w:divBdr>
    </w:div>
    <w:div w:id="1193349036">
      <w:bodyDiv w:val="1"/>
      <w:marLeft w:val="0"/>
      <w:marRight w:val="0"/>
      <w:marTop w:val="0"/>
      <w:marBottom w:val="0"/>
      <w:divBdr>
        <w:top w:val="none" w:sz="0" w:space="0" w:color="auto"/>
        <w:left w:val="none" w:sz="0" w:space="0" w:color="auto"/>
        <w:bottom w:val="none" w:sz="0" w:space="0" w:color="auto"/>
        <w:right w:val="none" w:sz="0" w:space="0" w:color="auto"/>
      </w:divBdr>
    </w:div>
    <w:div w:id="1332177618">
      <w:bodyDiv w:val="1"/>
      <w:marLeft w:val="0"/>
      <w:marRight w:val="0"/>
      <w:marTop w:val="0"/>
      <w:marBottom w:val="0"/>
      <w:divBdr>
        <w:top w:val="none" w:sz="0" w:space="0" w:color="auto"/>
        <w:left w:val="none" w:sz="0" w:space="0" w:color="auto"/>
        <w:bottom w:val="none" w:sz="0" w:space="0" w:color="auto"/>
        <w:right w:val="none" w:sz="0" w:space="0" w:color="auto"/>
      </w:divBdr>
      <w:divsChild>
        <w:div w:id="103891745">
          <w:marLeft w:val="0"/>
          <w:marRight w:val="0"/>
          <w:marTop w:val="0"/>
          <w:marBottom w:val="0"/>
          <w:divBdr>
            <w:top w:val="none" w:sz="0" w:space="0" w:color="auto"/>
            <w:left w:val="none" w:sz="0" w:space="0" w:color="auto"/>
            <w:bottom w:val="none" w:sz="0" w:space="0" w:color="auto"/>
            <w:right w:val="none" w:sz="0" w:space="0" w:color="auto"/>
          </w:divBdr>
        </w:div>
        <w:div w:id="320742806">
          <w:marLeft w:val="0"/>
          <w:marRight w:val="0"/>
          <w:marTop w:val="0"/>
          <w:marBottom w:val="0"/>
          <w:divBdr>
            <w:top w:val="none" w:sz="0" w:space="0" w:color="auto"/>
            <w:left w:val="none" w:sz="0" w:space="0" w:color="auto"/>
            <w:bottom w:val="none" w:sz="0" w:space="0" w:color="auto"/>
            <w:right w:val="none" w:sz="0" w:space="0" w:color="auto"/>
          </w:divBdr>
        </w:div>
        <w:div w:id="666832344">
          <w:marLeft w:val="0"/>
          <w:marRight w:val="0"/>
          <w:marTop w:val="0"/>
          <w:marBottom w:val="0"/>
          <w:divBdr>
            <w:top w:val="none" w:sz="0" w:space="0" w:color="auto"/>
            <w:left w:val="none" w:sz="0" w:space="0" w:color="auto"/>
            <w:bottom w:val="none" w:sz="0" w:space="0" w:color="auto"/>
            <w:right w:val="none" w:sz="0" w:space="0" w:color="auto"/>
          </w:divBdr>
        </w:div>
        <w:div w:id="1620603781">
          <w:marLeft w:val="0"/>
          <w:marRight w:val="0"/>
          <w:marTop w:val="0"/>
          <w:marBottom w:val="0"/>
          <w:divBdr>
            <w:top w:val="none" w:sz="0" w:space="0" w:color="auto"/>
            <w:left w:val="none" w:sz="0" w:space="0" w:color="auto"/>
            <w:bottom w:val="none" w:sz="0" w:space="0" w:color="auto"/>
            <w:right w:val="none" w:sz="0" w:space="0" w:color="auto"/>
          </w:divBdr>
        </w:div>
      </w:divsChild>
    </w:div>
    <w:div w:id="1379285417">
      <w:bodyDiv w:val="1"/>
      <w:marLeft w:val="0"/>
      <w:marRight w:val="0"/>
      <w:marTop w:val="0"/>
      <w:marBottom w:val="0"/>
      <w:divBdr>
        <w:top w:val="none" w:sz="0" w:space="0" w:color="auto"/>
        <w:left w:val="none" w:sz="0" w:space="0" w:color="auto"/>
        <w:bottom w:val="none" w:sz="0" w:space="0" w:color="auto"/>
        <w:right w:val="none" w:sz="0" w:space="0" w:color="auto"/>
      </w:divBdr>
    </w:div>
    <w:div w:id="1427531361">
      <w:bodyDiv w:val="1"/>
      <w:marLeft w:val="0"/>
      <w:marRight w:val="0"/>
      <w:marTop w:val="0"/>
      <w:marBottom w:val="0"/>
      <w:divBdr>
        <w:top w:val="none" w:sz="0" w:space="0" w:color="auto"/>
        <w:left w:val="none" w:sz="0" w:space="0" w:color="auto"/>
        <w:bottom w:val="none" w:sz="0" w:space="0" w:color="auto"/>
        <w:right w:val="none" w:sz="0" w:space="0" w:color="auto"/>
      </w:divBdr>
      <w:divsChild>
        <w:div w:id="1534686768">
          <w:marLeft w:val="0"/>
          <w:marRight w:val="0"/>
          <w:marTop w:val="0"/>
          <w:marBottom w:val="0"/>
          <w:divBdr>
            <w:top w:val="none" w:sz="0" w:space="0" w:color="auto"/>
            <w:left w:val="none" w:sz="0" w:space="0" w:color="auto"/>
            <w:bottom w:val="none" w:sz="0" w:space="0" w:color="auto"/>
            <w:right w:val="none" w:sz="0" w:space="0" w:color="auto"/>
          </w:divBdr>
        </w:div>
        <w:div w:id="1232735158">
          <w:marLeft w:val="0"/>
          <w:marRight w:val="0"/>
          <w:marTop w:val="0"/>
          <w:marBottom w:val="0"/>
          <w:divBdr>
            <w:top w:val="none" w:sz="0" w:space="0" w:color="auto"/>
            <w:left w:val="none" w:sz="0" w:space="0" w:color="auto"/>
            <w:bottom w:val="none" w:sz="0" w:space="0" w:color="auto"/>
            <w:right w:val="none" w:sz="0" w:space="0" w:color="auto"/>
          </w:divBdr>
        </w:div>
        <w:div w:id="1180703159">
          <w:marLeft w:val="0"/>
          <w:marRight w:val="0"/>
          <w:marTop w:val="0"/>
          <w:marBottom w:val="0"/>
          <w:divBdr>
            <w:top w:val="none" w:sz="0" w:space="0" w:color="auto"/>
            <w:left w:val="none" w:sz="0" w:space="0" w:color="auto"/>
            <w:bottom w:val="none" w:sz="0" w:space="0" w:color="auto"/>
            <w:right w:val="none" w:sz="0" w:space="0" w:color="auto"/>
          </w:divBdr>
        </w:div>
        <w:div w:id="108552439">
          <w:marLeft w:val="0"/>
          <w:marRight w:val="0"/>
          <w:marTop w:val="0"/>
          <w:marBottom w:val="0"/>
          <w:divBdr>
            <w:top w:val="none" w:sz="0" w:space="0" w:color="auto"/>
            <w:left w:val="none" w:sz="0" w:space="0" w:color="auto"/>
            <w:bottom w:val="none" w:sz="0" w:space="0" w:color="auto"/>
            <w:right w:val="none" w:sz="0" w:space="0" w:color="auto"/>
          </w:divBdr>
        </w:div>
        <w:div w:id="388311500">
          <w:marLeft w:val="0"/>
          <w:marRight w:val="0"/>
          <w:marTop w:val="0"/>
          <w:marBottom w:val="0"/>
          <w:divBdr>
            <w:top w:val="none" w:sz="0" w:space="0" w:color="auto"/>
            <w:left w:val="none" w:sz="0" w:space="0" w:color="auto"/>
            <w:bottom w:val="none" w:sz="0" w:space="0" w:color="auto"/>
            <w:right w:val="none" w:sz="0" w:space="0" w:color="auto"/>
          </w:divBdr>
        </w:div>
        <w:div w:id="2060667087">
          <w:marLeft w:val="0"/>
          <w:marRight w:val="0"/>
          <w:marTop w:val="0"/>
          <w:marBottom w:val="0"/>
          <w:divBdr>
            <w:top w:val="none" w:sz="0" w:space="0" w:color="auto"/>
            <w:left w:val="none" w:sz="0" w:space="0" w:color="auto"/>
            <w:bottom w:val="none" w:sz="0" w:space="0" w:color="auto"/>
            <w:right w:val="none" w:sz="0" w:space="0" w:color="auto"/>
          </w:divBdr>
        </w:div>
      </w:divsChild>
    </w:div>
    <w:div w:id="1488933692">
      <w:bodyDiv w:val="1"/>
      <w:marLeft w:val="0"/>
      <w:marRight w:val="0"/>
      <w:marTop w:val="0"/>
      <w:marBottom w:val="0"/>
      <w:divBdr>
        <w:top w:val="none" w:sz="0" w:space="0" w:color="auto"/>
        <w:left w:val="none" w:sz="0" w:space="0" w:color="auto"/>
        <w:bottom w:val="none" w:sz="0" w:space="0" w:color="auto"/>
        <w:right w:val="none" w:sz="0" w:space="0" w:color="auto"/>
      </w:divBdr>
    </w:div>
    <w:div w:id="1567258831">
      <w:bodyDiv w:val="1"/>
      <w:marLeft w:val="0"/>
      <w:marRight w:val="0"/>
      <w:marTop w:val="0"/>
      <w:marBottom w:val="0"/>
      <w:divBdr>
        <w:top w:val="none" w:sz="0" w:space="0" w:color="auto"/>
        <w:left w:val="none" w:sz="0" w:space="0" w:color="auto"/>
        <w:bottom w:val="none" w:sz="0" w:space="0" w:color="auto"/>
        <w:right w:val="none" w:sz="0" w:space="0" w:color="auto"/>
      </w:divBdr>
      <w:divsChild>
        <w:div w:id="253899729">
          <w:marLeft w:val="0"/>
          <w:marRight w:val="0"/>
          <w:marTop w:val="0"/>
          <w:marBottom w:val="0"/>
          <w:divBdr>
            <w:top w:val="none" w:sz="0" w:space="0" w:color="auto"/>
            <w:left w:val="none" w:sz="0" w:space="0" w:color="auto"/>
            <w:bottom w:val="none" w:sz="0" w:space="0" w:color="auto"/>
            <w:right w:val="none" w:sz="0" w:space="0" w:color="auto"/>
          </w:divBdr>
        </w:div>
        <w:div w:id="514808186">
          <w:marLeft w:val="0"/>
          <w:marRight w:val="0"/>
          <w:marTop w:val="0"/>
          <w:marBottom w:val="0"/>
          <w:divBdr>
            <w:top w:val="none" w:sz="0" w:space="0" w:color="auto"/>
            <w:left w:val="none" w:sz="0" w:space="0" w:color="auto"/>
            <w:bottom w:val="none" w:sz="0" w:space="0" w:color="auto"/>
            <w:right w:val="none" w:sz="0" w:space="0" w:color="auto"/>
          </w:divBdr>
        </w:div>
        <w:div w:id="703553463">
          <w:marLeft w:val="0"/>
          <w:marRight w:val="0"/>
          <w:marTop w:val="0"/>
          <w:marBottom w:val="0"/>
          <w:divBdr>
            <w:top w:val="none" w:sz="0" w:space="0" w:color="auto"/>
            <w:left w:val="none" w:sz="0" w:space="0" w:color="auto"/>
            <w:bottom w:val="none" w:sz="0" w:space="0" w:color="auto"/>
            <w:right w:val="none" w:sz="0" w:space="0" w:color="auto"/>
          </w:divBdr>
        </w:div>
        <w:div w:id="900361168">
          <w:marLeft w:val="0"/>
          <w:marRight w:val="0"/>
          <w:marTop w:val="0"/>
          <w:marBottom w:val="0"/>
          <w:divBdr>
            <w:top w:val="none" w:sz="0" w:space="0" w:color="auto"/>
            <w:left w:val="none" w:sz="0" w:space="0" w:color="auto"/>
            <w:bottom w:val="none" w:sz="0" w:space="0" w:color="auto"/>
            <w:right w:val="none" w:sz="0" w:space="0" w:color="auto"/>
          </w:divBdr>
        </w:div>
      </w:divsChild>
    </w:div>
    <w:div w:id="1606579052">
      <w:bodyDiv w:val="1"/>
      <w:marLeft w:val="0"/>
      <w:marRight w:val="0"/>
      <w:marTop w:val="0"/>
      <w:marBottom w:val="0"/>
      <w:divBdr>
        <w:top w:val="none" w:sz="0" w:space="0" w:color="auto"/>
        <w:left w:val="none" w:sz="0" w:space="0" w:color="auto"/>
        <w:bottom w:val="none" w:sz="0" w:space="0" w:color="auto"/>
        <w:right w:val="none" w:sz="0" w:space="0" w:color="auto"/>
      </w:divBdr>
      <w:divsChild>
        <w:div w:id="487981138">
          <w:marLeft w:val="0"/>
          <w:marRight w:val="0"/>
          <w:marTop w:val="0"/>
          <w:marBottom w:val="0"/>
          <w:divBdr>
            <w:top w:val="none" w:sz="0" w:space="0" w:color="auto"/>
            <w:left w:val="none" w:sz="0" w:space="0" w:color="auto"/>
            <w:bottom w:val="none" w:sz="0" w:space="0" w:color="auto"/>
            <w:right w:val="none" w:sz="0" w:space="0" w:color="auto"/>
          </w:divBdr>
        </w:div>
      </w:divsChild>
    </w:div>
    <w:div w:id="1671566325">
      <w:bodyDiv w:val="1"/>
      <w:marLeft w:val="0"/>
      <w:marRight w:val="0"/>
      <w:marTop w:val="0"/>
      <w:marBottom w:val="0"/>
      <w:divBdr>
        <w:top w:val="none" w:sz="0" w:space="0" w:color="auto"/>
        <w:left w:val="none" w:sz="0" w:space="0" w:color="auto"/>
        <w:bottom w:val="none" w:sz="0" w:space="0" w:color="auto"/>
        <w:right w:val="none" w:sz="0" w:space="0" w:color="auto"/>
      </w:divBdr>
    </w:div>
    <w:div w:id="1696543499">
      <w:bodyDiv w:val="1"/>
      <w:marLeft w:val="0"/>
      <w:marRight w:val="0"/>
      <w:marTop w:val="0"/>
      <w:marBottom w:val="0"/>
      <w:divBdr>
        <w:top w:val="none" w:sz="0" w:space="0" w:color="auto"/>
        <w:left w:val="none" w:sz="0" w:space="0" w:color="auto"/>
        <w:bottom w:val="none" w:sz="0" w:space="0" w:color="auto"/>
        <w:right w:val="none" w:sz="0" w:space="0" w:color="auto"/>
      </w:divBdr>
      <w:divsChild>
        <w:div w:id="694162129">
          <w:marLeft w:val="0"/>
          <w:marRight w:val="0"/>
          <w:marTop w:val="0"/>
          <w:marBottom w:val="0"/>
          <w:divBdr>
            <w:top w:val="none" w:sz="0" w:space="0" w:color="auto"/>
            <w:left w:val="none" w:sz="0" w:space="0" w:color="auto"/>
            <w:bottom w:val="none" w:sz="0" w:space="0" w:color="auto"/>
            <w:right w:val="none" w:sz="0" w:space="0" w:color="auto"/>
          </w:divBdr>
        </w:div>
      </w:divsChild>
    </w:div>
    <w:div w:id="1736315981">
      <w:bodyDiv w:val="1"/>
      <w:marLeft w:val="0"/>
      <w:marRight w:val="0"/>
      <w:marTop w:val="0"/>
      <w:marBottom w:val="0"/>
      <w:divBdr>
        <w:top w:val="none" w:sz="0" w:space="0" w:color="auto"/>
        <w:left w:val="none" w:sz="0" w:space="0" w:color="auto"/>
        <w:bottom w:val="none" w:sz="0" w:space="0" w:color="auto"/>
        <w:right w:val="none" w:sz="0" w:space="0" w:color="auto"/>
      </w:divBdr>
    </w:div>
    <w:div w:id="1790854823">
      <w:bodyDiv w:val="1"/>
      <w:marLeft w:val="0"/>
      <w:marRight w:val="0"/>
      <w:marTop w:val="0"/>
      <w:marBottom w:val="0"/>
      <w:divBdr>
        <w:top w:val="none" w:sz="0" w:space="0" w:color="auto"/>
        <w:left w:val="none" w:sz="0" w:space="0" w:color="auto"/>
        <w:bottom w:val="none" w:sz="0" w:space="0" w:color="auto"/>
        <w:right w:val="none" w:sz="0" w:space="0" w:color="auto"/>
      </w:divBdr>
      <w:divsChild>
        <w:div w:id="1403287434">
          <w:marLeft w:val="0"/>
          <w:marRight w:val="0"/>
          <w:marTop w:val="0"/>
          <w:marBottom w:val="0"/>
          <w:divBdr>
            <w:top w:val="none" w:sz="0" w:space="0" w:color="auto"/>
            <w:left w:val="none" w:sz="0" w:space="0" w:color="auto"/>
            <w:bottom w:val="none" w:sz="0" w:space="0" w:color="auto"/>
            <w:right w:val="none" w:sz="0" w:space="0" w:color="auto"/>
          </w:divBdr>
        </w:div>
        <w:div w:id="595943552">
          <w:marLeft w:val="0"/>
          <w:marRight w:val="0"/>
          <w:marTop w:val="0"/>
          <w:marBottom w:val="0"/>
          <w:divBdr>
            <w:top w:val="none" w:sz="0" w:space="0" w:color="auto"/>
            <w:left w:val="none" w:sz="0" w:space="0" w:color="auto"/>
            <w:bottom w:val="none" w:sz="0" w:space="0" w:color="auto"/>
            <w:right w:val="none" w:sz="0" w:space="0" w:color="auto"/>
          </w:divBdr>
        </w:div>
        <w:div w:id="605960760">
          <w:marLeft w:val="0"/>
          <w:marRight w:val="0"/>
          <w:marTop w:val="0"/>
          <w:marBottom w:val="0"/>
          <w:divBdr>
            <w:top w:val="none" w:sz="0" w:space="0" w:color="auto"/>
            <w:left w:val="none" w:sz="0" w:space="0" w:color="auto"/>
            <w:bottom w:val="none" w:sz="0" w:space="0" w:color="auto"/>
            <w:right w:val="none" w:sz="0" w:space="0" w:color="auto"/>
          </w:divBdr>
        </w:div>
        <w:div w:id="321006343">
          <w:marLeft w:val="0"/>
          <w:marRight w:val="0"/>
          <w:marTop w:val="0"/>
          <w:marBottom w:val="0"/>
          <w:divBdr>
            <w:top w:val="none" w:sz="0" w:space="0" w:color="auto"/>
            <w:left w:val="none" w:sz="0" w:space="0" w:color="auto"/>
            <w:bottom w:val="none" w:sz="0" w:space="0" w:color="auto"/>
            <w:right w:val="none" w:sz="0" w:space="0" w:color="auto"/>
          </w:divBdr>
        </w:div>
        <w:div w:id="973221195">
          <w:marLeft w:val="0"/>
          <w:marRight w:val="0"/>
          <w:marTop w:val="0"/>
          <w:marBottom w:val="0"/>
          <w:divBdr>
            <w:top w:val="none" w:sz="0" w:space="0" w:color="auto"/>
            <w:left w:val="none" w:sz="0" w:space="0" w:color="auto"/>
            <w:bottom w:val="none" w:sz="0" w:space="0" w:color="auto"/>
            <w:right w:val="none" w:sz="0" w:space="0" w:color="auto"/>
          </w:divBdr>
        </w:div>
        <w:div w:id="876623138">
          <w:marLeft w:val="0"/>
          <w:marRight w:val="0"/>
          <w:marTop w:val="0"/>
          <w:marBottom w:val="0"/>
          <w:divBdr>
            <w:top w:val="none" w:sz="0" w:space="0" w:color="auto"/>
            <w:left w:val="none" w:sz="0" w:space="0" w:color="auto"/>
            <w:bottom w:val="none" w:sz="0" w:space="0" w:color="auto"/>
            <w:right w:val="none" w:sz="0" w:space="0" w:color="auto"/>
          </w:divBdr>
        </w:div>
      </w:divsChild>
    </w:div>
    <w:div w:id="2078673378">
      <w:bodyDiv w:val="1"/>
      <w:marLeft w:val="0"/>
      <w:marRight w:val="0"/>
      <w:marTop w:val="0"/>
      <w:marBottom w:val="0"/>
      <w:divBdr>
        <w:top w:val="none" w:sz="0" w:space="0" w:color="auto"/>
        <w:left w:val="none" w:sz="0" w:space="0" w:color="auto"/>
        <w:bottom w:val="none" w:sz="0" w:space="0" w:color="auto"/>
        <w:right w:val="none" w:sz="0" w:space="0" w:color="auto"/>
      </w:divBdr>
    </w:div>
    <w:div w:id="209925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ccas.osu.edu/submission/development/submission-policies/definition-semester-credit-hour" TargetMode="External"/><Relationship Id="rId3" Type="http://schemas.openxmlformats.org/officeDocument/2006/relationships/settings" Target="settings.xml"/><Relationship Id="rId7" Type="http://schemas.openxmlformats.org/officeDocument/2006/relationships/hyperlink" Target="https://asccas.osu.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sccas.osu.edu/general-education-program/gen-race-ethnicity-and-gender-diversity-themes-information/gen-themes-0" TargetMode="External"/><Relationship Id="rId11" Type="http://schemas.openxmlformats.org/officeDocument/2006/relationships/fontTable" Target="fontTable.xml"/><Relationship Id="rId5" Type="http://schemas.openxmlformats.org/officeDocument/2006/relationships/hyperlink" Target="https://asccas.osu.edu/general-education-program/gen-race-ethnicity-and-gender-diversity-themes-information/gen-themes" TargetMode="External"/><Relationship Id="rId10" Type="http://schemas.openxmlformats.org/officeDocument/2006/relationships/hyperlink" Target="https://ugeducation.osu.edu/academics/syllabus-policies-statements/standard-syllabus-statements" TargetMode="External"/><Relationship Id="rId4" Type="http://schemas.openxmlformats.org/officeDocument/2006/relationships/webSettings" Target="webSettings.xml"/><Relationship Id="rId9" Type="http://schemas.openxmlformats.org/officeDocument/2006/relationships/hyperlink" Target="https://asccas.osu.edu/new-general-education-gen-goals-and-el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2625</Words>
  <Characters>14963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17553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Steele, Rachel</dc:creator>
  <cp:keywords/>
  <dc:description/>
  <cp:lastModifiedBy>Steele, Rachel</cp:lastModifiedBy>
  <cp:revision>2</cp:revision>
  <dcterms:created xsi:type="dcterms:W3CDTF">2025-11-11T17:19:00Z</dcterms:created>
  <dcterms:modified xsi:type="dcterms:W3CDTF">2025-11-11T17:19:00Z</dcterms:modified>
</cp:coreProperties>
</file>